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AC46C" w14:textId="77777777" w:rsidR="00D612E1" w:rsidRPr="00CD2E41" w:rsidRDefault="001E3252" w:rsidP="00142CE3">
      <w:pPr>
        <w:tabs>
          <w:tab w:val="left" w:pos="5040"/>
        </w:tabs>
        <w:ind w:right="-143"/>
        <w:rPr>
          <w:rFonts w:cs="Calibri"/>
          <w:color w:val="FF0000"/>
          <w:lang w:val="en-US"/>
        </w:rPr>
      </w:pPr>
      <w:r>
        <w:rPr>
          <w:rFonts w:eastAsia="Times New Roman" w:cs="Calibri"/>
          <w:noProof/>
          <w:color w:val="FF0000"/>
          <w:sz w:val="24"/>
          <w:szCs w:val="24"/>
          <w:lang w:eastAsia="el-GR"/>
        </w:rPr>
        <mc:AlternateContent>
          <mc:Choice Requires="wps">
            <w:drawing>
              <wp:anchor distT="0" distB="0" distL="114300" distR="114300" simplePos="0" relativeHeight="251730944" behindDoc="0" locked="0" layoutInCell="1" allowOverlap="1" wp14:anchorId="1EF678D9" wp14:editId="169D6EEE">
                <wp:simplePos x="0" y="0"/>
                <wp:positionH relativeFrom="page">
                  <wp:posOffset>15903</wp:posOffset>
                </wp:positionH>
                <wp:positionV relativeFrom="paragraph">
                  <wp:posOffset>-409216</wp:posOffset>
                </wp:positionV>
                <wp:extent cx="7107555" cy="842838"/>
                <wp:effectExtent l="0" t="0" r="0" b="0"/>
                <wp:wrapNone/>
                <wp:docPr id="5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07555" cy="842838"/>
                        </a:xfrm>
                        <a:prstGeom prst="rect">
                          <a:avLst/>
                        </a:prstGeom>
                        <a:noFill/>
                        <a:ln w="9525" cap="flat" cmpd="sng" algn="ctr">
                          <a:noFill/>
                          <a:prstDash val="solid"/>
                        </a:ln>
                        <a:effectLst/>
                      </wps:spPr>
                      <wps:txbx>
                        <w:txbxContent>
                          <w:p w14:paraId="7CDE291D" w14:textId="77777777" w:rsidR="00337141" w:rsidRDefault="00337141" w:rsidP="00F63A60">
                            <w:pPr>
                              <w:shd w:val="clear" w:color="auto" w:fill="FFFFFF" w:themeFill="background1"/>
                              <w:tabs>
                                <w:tab w:val="left" w:pos="9214"/>
                              </w:tabs>
                              <w:spacing w:after="40" w:line="300" w:lineRule="exact"/>
                              <w:ind w:left="-142" w:right="284"/>
                              <w:jc w:val="right"/>
                              <w:rPr>
                                <w:rFonts w:eastAsia="Times New Roman" w:cs="Calibri"/>
                                <w:b/>
                                <w:i/>
                                <w:color w:val="6691AB"/>
                                <w:sz w:val="27"/>
                                <w:szCs w:val="27"/>
                              </w:rPr>
                            </w:pPr>
                          </w:p>
                          <w:p w14:paraId="71DC30C6" w14:textId="77777777" w:rsidR="00337141" w:rsidRDefault="00337141" w:rsidP="002F1915">
                            <w:pPr>
                              <w:shd w:val="clear" w:color="auto" w:fill="FFFFFF" w:themeFill="background1"/>
                              <w:tabs>
                                <w:tab w:val="left" w:pos="9214"/>
                              </w:tabs>
                              <w:spacing w:after="120" w:line="300" w:lineRule="exact"/>
                              <w:ind w:left="-142" w:right="170"/>
                              <w:jc w:val="right"/>
                              <w:rPr>
                                <w:rFonts w:eastAsia="Times New Roman" w:cs="Calibri"/>
                                <w:b/>
                                <w:color w:val="6691AB"/>
                                <w:sz w:val="28"/>
                                <w:szCs w:val="27"/>
                              </w:rPr>
                            </w:pPr>
                            <w:r w:rsidRPr="003A4DAD">
                              <w:rPr>
                                <w:rFonts w:eastAsia="Times New Roman" w:cs="Calibri"/>
                                <w:b/>
                                <w:color w:val="6691AB"/>
                                <w:sz w:val="28"/>
                                <w:szCs w:val="27"/>
                              </w:rPr>
                              <w:t>Αποτελέσματα 2020 &amp; Στρατηγικός Σχεδιασμός</w:t>
                            </w:r>
                          </w:p>
                          <w:p w14:paraId="274803DB" w14:textId="0CCA356A" w:rsidR="00337141" w:rsidRPr="001E3252" w:rsidRDefault="00337141" w:rsidP="002F1915">
                            <w:pPr>
                              <w:shd w:val="clear" w:color="auto" w:fill="FFFFFF" w:themeFill="background1"/>
                              <w:tabs>
                                <w:tab w:val="left" w:pos="9214"/>
                              </w:tabs>
                              <w:spacing w:after="120" w:line="300" w:lineRule="exact"/>
                              <w:ind w:left="-142" w:right="170"/>
                              <w:jc w:val="right"/>
                              <w:rPr>
                                <w:rFonts w:eastAsia="Times New Roman" w:cs="Calibri"/>
                                <w:b/>
                                <w:color w:val="003C96" w:themeColor="text2"/>
                                <w:sz w:val="26"/>
                                <w:szCs w:val="26"/>
                              </w:rPr>
                            </w:pPr>
                            <w:r w:rsidRPr="001E3252">
                              <w:rPr>
                                <w:rFonts w:eastAsia="Times New Roman" w:cs="Calibri"/>
                                <w:b/>
                                <w:color w:val="6691AB"/>
                                <w:sz w:val="26"/>
                                <w:szCs w:val="26"/>
                              </w:rPr>
                              <w:t xml:space="preserve">Σχέδιο </w:t>
                            </w:r>
                            <w:r w:rsidRPr="001E3252">
                              <w:rPr>
                                <w:rFonts w:eastAsia="Times New Roman" w:cs="Calibri"/>
                                <w:b/>
                                <w:color w:val="6691AB"/>
                                <w:sz w:val="26"/>
                                <w:szCs w:val="26"/>
                                <w:lang w:val="en-US"/>
                              </w:rPr>
                              <w:t>Sunrise</w:t>
                            </w:r>
                            <w:r w:rsidRPr="001E3252">
                              <w:rPr>
                                <w:rFonts w:eastAsia="Times New Roman" w:cs="Calibri"/>
                                <w:b/>
                                <w:color w:val="6691AB"/>
                                <w:sz w:val="26"/>
                                <w:szCs w:val="26"/>
                              </w:rPr>
                              <w:t xml:space="preserve">: Νέα Πειραιώς, με Μονοψήφιο </w:t>
                            </w:r>
                            <w:r w:rsidR="00E930C3">
                              <w:rPr>
                                <w:rFonts w:eastAsia="Times New Roman" w:cs="Calibri"/>
                                <w:b/>
                                <w:color w:val="6691AB"/>
                                <w:sz w:val="26"/>
                                <w:szCs w:val="26"/>
                              </w:rPr>
                              <w:t>Δείκτη</w:t>
                            </w:r>
                            <w:r w:rsidRPr="001E3252">
                              <w:rPr>
                                <w:rFonts w:eastAsia="Times New Roman" w:cs="Calibri"/>
                                <w:b/>
                                <w:color w:val="6691AB"/>
                                <w:sz w:val="26"/>
                                <w:szCs w:val="26"/>
                              </w:rPr>
                              <w:t xml:space="preserve"> </w:t>
                            </w:r>
                            <w:r w:rsidRPr="001E3252">
                              <w:rPr>
                                <w:rFonts w:eastAsia="Times New Roman" w:cs="Calibri"/>
                                <w:b/>
                                <w:color w:val="6691AB"/>
                                <w:sz w:val="26"/>
                                <w:szCs w:val="26"/>
                                <w:lang w:val="en-US"/>
                              </w:rPr>
                              <w:t>NPE</w:t>
                            </w:r>
                            <w:r w:rsidRPr="001E3252">
                              <w:rPr>
                                <w:rFonts w:eastAsia="Times New Roman" w:cs="Calibri"/>
                                <w:b/>
                                <w:color w:val="6691AB"/>
                                <w:sz w:val="26"/>
                                <w:szCs w:val="26"/>
                              </w:rPr>
                              <w:t xml:space="preserve"> σε 12 Μήνες, Κερδοφόρα και Ισχυρή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78D9" id="Rectangle 30" o:spid="_x0000_s1026" style="position:absolute;margin-left:1.25pt;margin-top:-32.2pt;width:559.65pt;height:66.3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" filled="f" stroked="f">
                <v:path arrowok="t"/>
                <o:lock v:ext="edit" aspectratio="t"/>
                <v:textbox>
                  <w:txbxContent>
                    <w:p w14:paraId="7CDE291D" w14:textId="77777777" w:rsidR="00337141" w:rsidRDefault="00337141" w:rsidP="00F63A60">
                      <w:pPr>
                        <w:shd w:val="clear" w:color="auto" w:fill="FFFFFF" w:themeFill="background1"/>
                        <w:tabs>
                          <w:tab w:val="left" w:pos="9214"/>
                        </w:tabs>
                        <w:spacing w:after="40" w:line="300" w:lineRule="exact"/>
                        <w:ind w:left="-142" w:right="284"/>
                        <w:jc w:val="right"/>
                        <w:rPr>
                          <w:rFonts w:eastAsia="Times New Roman" w:cs="Calibri"/>
                          <w:b/>
                          <w:i/>
                          <w:color w:val="6691AB"/>
                          <w:sz w:val="27"/>
                          <w:szCs w:val="27"/>
                        </w:rPr>
                      </w:pPr>
                    </w:p>
                    <w:p w14:paraId="71DC30C6" w14:textId="77777777" w:rsidR="00337141" w:rsidRDefault="00337141" w:rsidP="002F1915">
                      <w:pPr>
                        <w:shd w:val="clear" w:color="auto" w:fill="FFFFFF" w:themeFill="background1"/>
                        <w:tabs>
                          <w:tab w:val="left" w:pos="9214"/>
                        </w:tabs>
                        <w:spacing w:after="120" w:line="300" w:lineRule="exact"/>
                        <w:ind w:left="-142" w:right="170"/>
                        <w:jc w:val="right"/>
                        <w:rPr>
                          <w:rFonts w:eastAsia="Times New Roman" w:cs="Calibri"/>
                          <w:b/>
                          <w:color w:val="6691AB"/>
                          <w:sz w:val="28"/>
                          <w:szCs w:val="27"/>
                        </w:rPr>
                      </w:pPr>
                      <w:r w:rsidRPr="003A4DAD">
                        <w:rPr>
                          <w:rFonts w:eastAsia="Times New Roman" w:cs="Calibri"/>
                          <w:b/>
                          <w:color w:val="6691AB"/>
                          <w:sz w:val="28"/>
                          <w:szCs w:val="27"/>
                        </w:rPr>
                        <w:t>Αποτελέσματα 2020 &amp; Στρατηγικός Σχεδιασμός</w:t>
                      </w:r>
                    </w:p>
                    <w:p w14:paraId="274803DB" w14:textId="0CCA356A" w:rsidR="00337141" w:rsidRPr="001E3252" w:rsidRDefault="00337141" w:rsidP="002F1915">
                      <w:pPr>
                        <w:shd w:val="clear" w:color="auto" w:fill="FFFFFF" w:themeFill="background1"/>
                        <w:tabs>
                          <w:tab w:val="left" w:pos="9214"/>
                        </w:tabs>
                        <w:spacing w:after="120" w:line="300" w:lineRule="exact"/>
                        <w:ind w:left="-142" w:right="170"/>
                        <w:jc w:val="right"/>
                        <w:rPr>
                          <w:rFonts w:eastAsia="Times New Roman" w:cs="Calibri"/>
                          <w:b/>
                          <w:color w:val="003C96" w:themeColor="text2"/>
                          <w:sz w:val="26"/>
                          <w:szCs w:val="26"/>
                        </w:rPr>
                      </w:pPr>
                      <w:r w:rsidRPr="001E3252">
                        <w:rPr>
                          <w:rFonts w:eastAsia="Times New Roman" w:cs="Calibri"/>
                          <w:b/>
                          <w:color w:val="6691AB"/>
                          <w:sz w:val="26"/>
                          <w:szCs w:val="26"/>
                        </w:rPr>
                        <w:t xml:space="preserve">Σχέδιο </w:t>
                      </w:r>
                      <w:r w:rsidRPr="001E3252">
                        <w:rPr>
                          <w:rFonts w:eastAsia="Times New Roman" w:cs="Calibri"/>
                          <w:b/>
                          <w:color w:val="6691AB"/>
                          <w:sz w:val="26"/>
                          <w:szCs w:val="26"/>
                          <w:lang w:val="en-US"/>
                        </w:rPr>
                        <w:t>Sunrise</w:t>
                      </w:r>
                      <w:r w:rsidRPr="001E3252">
                        <w:rPr>
                          <w:rFonts w:eastAsia="Times New Roman" w:cs="Calibri"/>
                          <w:b/>
                          <w:color w:val="6691AB"/>
                          <w:sz w:val="26"/>
                          <w:szCs w:val="26"/>
                        </w:rPr>
                        <w:t xml:space="preserve">: Νέα Πειραιώς, με Μονοψήφιο </w:t>
                      </w:r>
                      <w:r w:rsidR="00E930C3">
                        <w:rPr>
                          <w:rFonts w:eastAsia="Times New Roman" w:cs="Calibri"/>
                          <w:b/>
                          <w:color w:val="6691AB"/>
                          <w:sz w:val="26"/>
                          <w:szCs w:val="26"/>
                        </w:rPr>
                        <w:t>Δείκτη</w:t>
                      </w:r>
                      <w:r w:rsidRPr="001E3252">
                        <w:rPr>
                          <w:rFonts w:eastAsia="Times New Roman" w:cs="Calibri"/>
                          <w:b/>
                          <w:color w:val="6691AB"/>
                          <w:sz w:val="26"/>
                          <w:szCs w:val="26"/>
                        </w:rPr>
                        <w:t xml:space="preserve"> </w:t>
                      </w:r>
                      <w:r w:rsidRPr="001E3252">
                        <w:rPr>
                          <w:rFonts w:eastAsia="Times New Roman" w:cs="Calibri"/>
                          <w:b/>
                          <w:color w:val="6691AB"/>
                          <w:sz w:val="26"/>
                          <w:szCs w:val="26"/>
                          <w:lang w:val="en-US"/>
                        </w:rPr>
                        <w:t>NPE</w:t>
                      </w:r>
                      <w:r w:rsidRPr="001E3252">
                        <w:rPr>
                          <w:rFonts w:eastAsia="Times New Roman" w:cs="Calibri"/>
                          <w:b/>
                          <w:color w:val="6691AB"/>
                          <w:sz w:val="26"/>
                          <w:szCs w:val="26"/>
                        </w:rPr>
                        <w:t xml:space="preserve"> σε 12 Μήνες, Κερδοφόρα και Ισχυρή</w:t>
                      </w:r>
                    </w:p>
                  </w:txbxContent>
                </v:textbox>
                <w10:wrap anchorx="page"/>
              </v:rect>
            </w:pict>
          </mc:Fallback>
        </mc:AlternateContent>
      </w:r>
    </w:p>
    <w:p w14:paraId="22AE4398" w14:textId="77777777" w:rsidR="003A4DAD" w:rsidRDefault="003A4DAD" w:rsidP="00F41FD4">
      <w:pPr>
        <w:spacing w:line="300" w:lineRule="exact"/>
        <w:ind w:left="-2160" w:right="72"/>
        <w:jc w:val="both"/>
        <w:rPr>
          <w:rFonts w:cs="Calibri"/>
          <w:b/>
          <w:color w:val="6691AB"/>
          <w:sz w:val="28"/>
          <w:szCs w:val="28"/>
          <w:lang w:val="en-US"/>
        </w:rPr>
      </w:pPr>
    </w:p>
    <w:p w14:paraId="1263E853" w14:textId="026746C8" w:rsidR="002F30A0" w:rsidRDefault="00700D23" w:rsidP="00C1355C">
      <w:pPr>
        <w:spacing w:line="300" w:lineRule="exact"/>
        <w:ind w:left="-2160" w:right="70"/>
        <w:jc w:val="right"/>
        <w:rPr>
          <w:rFonts w:cs="Calibri"/>
          <w:b/>
          <w:color w:val="6691AB"/>
          <w:sz w:val="28"/>
          <w:szCs w:val="28"/>
        </w:rPr>
      </w:pPr>
      <w:r w:rsidRPr="003A4DAD">
        <w:rPr>
          <w:rFonts w:cs="Calibri"/>
          <w:noProof/>
          <w:color w:val="6691AB"/>
          <w:sz w:val="28"/>
          <w:szCs w:val="28"/>
          <w:lang w:eastAsia="el-GR"/>
        </w:rPr>
        <mc:AlternateContent>
          <mc:Choice Requires="wps">
            <w:drawing>
              <wp:anchor distT="0" distB="0" distL="114300" distR="114300" simplePos="0" relativeHeight="251803648" behindDoc="0" locked="0" layoutInCell="1" allowOverlap="1" wp14:anchorId="2260BB3B" wp14:editId="2AF55AFE">
                <wp:simplePos x="0" y="0"/>
                <wp:positionH relativeFrom="column">
                  <wp:posOffset>-2352675</wp:posOffset>
                </wp:positionH>
                <wp:positionV relativeFrom="paragraph">
                  <wp:posOffset>484588</wp:posOffset>
                </wp:positionV>
                <wp:extent cx="7178040" cy="0"/>
                <wp:effectExtent l="0" t="0" r="22860" b="19050"/>
                <wp:wrapNone/>
                <wp:docPr id="27" name="Straight Connector 100">
                  <a:extLst xmlns:a="http://schemas.openxmlformats.org/drawingml/2006/main">
                    <a:ext uri="{FF2B5EF4-FFF2-40B4-BE49-F238E27FC236}">
                      <a16:creationId xmlns:a16="http://schemas.microsoft.com/office/drawing/2014/main" id="{CE3EDDE5-9B23-44D7-8546-0B2365B42B16}"/>
                    </a:ext>
                  </a:extLst>
                </wp:docPr>
                <wp:cNvGraphicFramePr/>
                <a:graphic xmlns:a="http://schemas.openxmlformats.org/drawingml/2006/main">
                  <a:graphicData uri="http://schemas.microsoft.com/office/word/2010/wordprocessingShape">
                    <wps:wsp>
                      <wps:cNvCnPr/>
                      <wps:spPr>
                        <a:xfrm flipV="1">
                          <a:off x="0" y="0"/>
                          <a:ext cx="7178040" cy="0"/>
                        </a:xfrm>
                        <a:prstGeom prst="line">
                          <a:avLst/>
                        </a:prstGeom>
                        <a:ln>
                          <a:solidFill>
                            <a:srgbClr val="6691A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ABC35D" id="Straight Connector 100" o:spid="_x0000_s1026" style="position:absolute;flip:y;z-index:251803648;visibility:visible;mso-wrap-style:square;mso-wrap-distance-left:9pt;mso-wrap-distance-top:0;mso-wrap-distance-right:9pt;mso-wrap-distance-bottom:0;mso-position-horizontal:absolute;mso-position-horizontal-relative:text;mso-position-vertical:absolute;mso-position-vertical-relative:text" from="-185.25pt,38.15pt" to="379.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" strokecolor="#6691ab"/>
            </w:pict>
          </mc:Fallback>
        </mc:AlternateContent>
      </w:r>
      <w:r w:rsidR="00C1355C" w:rsidRPr="00C1355C">
        <w:rPr>
          <w:rFonts w:cs="Calibri"/>
          <w:b/>
          <w:color w:val="6691AB"/>
          <w:sz w:val="28"/>
          <w:szCs w:val="28"/>
        </w:rPr>
        <w:t xml:space="preserve"> </w:t>
      </w:r>
      <w:r w:rsidR="00C1355C">
        <w:rPr>
          <w:rFonts w:cs="Calibri"/>
          <w:b/>
          <w:color w:val="6691AB"/>
          <w:sz w:val="28"/>
          <w:szCs w:val="28"/>
        </w:rPr>
        <w:t xml:space="preserve">Σχέδιο </w:t>
      </w:r>
      <w:r w:rsidR="00C1355C">
        <w:rPr>
          <w:rFonts w:cs="Calibri"/>
          <w:b/>
          <w:color w:val="6691AB"/>
          <w:sz w:val="28"/>
          <w:szCs w:val="28"/>
          <w:lang w:val="en-US"/>
        </w:rPr>
        <w:t>Sunrise</w:t>
      </w:r>
      <w:r w:rsidR="00C1355C" w:rsidRPr="00F41FD4">
        <w:rPr>
          <w:rFonts w:cs="Calibri"/>
          <w:b/>
          <w:color w:val="6691AB"/>
          <w:sz w:val="28"/>
          <w:szCs w:val="28"/>
        </w:rPr>
        <w:t xml:space="preserve">: </w:t>
      </w:r>
      <w:r w:rsidR="00C1355C">
        <w:rPr>
          <w:rFonts w:cs="Calibri"/>
          <w:b/>
          <w:color w:val="6691AB"/>
          <w:sz w:val="28"/>
          <w:szCs w:val="28"/>
        </w:rPr>
        <w:t>Νέα Τράπεζα Πειραιώς</w:t>
      </w:r>
      <w:r w:rsidR="003A4DAD" w:rsidRPr="003A4DAD">
        <w:rPr>
          <w:rFonts w:cs="Calibri"/>
          <w:b/>
          <w:color w:val="6691AB"/>
          <w:sz w:val="28"/>
          <w:szCs w:val="28"/>
        </w:rPr>
        <w:t xml:space="preserve"> </w:t>
      </w:r>
    </w:p>
    <w:p w14:paraId="1DD48448" w14:textId="4F131ABB" w:rsidR="00CF154C" w:rsidRPr="003A4DAD" w:rsidRDefault="002F1915" w:rsidP="00F41FD4">
      <w:pPr>
        <w:spacing w:line="300" w:lineRule="exact"/>
        <w:ind w:left="-2160" w:right="70"/>
        <w:jc w:val="both"/>
        <w:rPr>
          <w:rFonts w:cs="Calibri"/>
          <w:b/>
          <w:color w:val="FF0000"/>
          <w:sz w:val="16"/>
          <w:szCs w:val="21"/>
        </w:rPr>
      </w:pPr>
      <w:r w:rsidRPr="003A4DAD">
        <w:rPr>
          <w:rFonts w:eastAsia="Times New Roman" w:cs="Calibri"/>
          <w:b/>
          <w:noProof/>
          <w:color w:val="6691AB"/>
          <w:sz w:val="28"/>
          <w:szCs w:val="28"/>
          <w:lang w:eastAsia="el-GR"/>
        </w:rPr>
        <mc:AlternateContent>
          <mc:Choice Requires="wps">
            <w:drawing>
              <wp:anchor distT="0" distB="0" distL="114300" distR="114300" simplePos="0" relativeHeight="251777024" behindDoc="1" locked="0" layoutInCell="1" allowOverlap="1" wp14:anchorId="7E683E93" wp14:editId="0F970A7A">
                <wp:simplePos x="0" y="0"/>
                <wp:positionH relativeFrom="page">
                  <wp:posOffset>12700</wp:posOffset>
                </wp:positionH>
                <wp:positionV relativeFrom="paragraph">
                  <wp:posOffset>175672</wp:posOffset>
                </wp:positionV>
                <wp:extent cx="6934200" cy="7308215"/>
                <wp:effectExtent l="0" t="0" r="0" b="6985"/>
                <wp:wrapNone/>
                <wp:docPr id="13"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0" cy="7308215"/>
                        </a:xfrm>
                        <a:prstGeom prst="rect">
                          <a:avLst/>
                        </a:prstGeom>
                        <a:solidFill>
                          <a:srgbClr val="E6E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98DF" w14:textId="77777777" w:rsidR="00337141" w:rsidRDefault="00337141" w:rsidP="002C56DA">
                            <w:pPr>
                              <w:spacing w:before="120"/>
                              <w:jc w:val="center"/>
                              <w:rPr>
                                <w:lang w:val="en-US"/>
                              </w:rPr>
                            </w:pPr>
                          </w:p>
                          <w:p w14:paraId="7A474075" w14:textId="77777777" w:rsidR="00337141" w:rsidRPr="00DC3F41" w:rsidRDefault="00337141" w:rsidP="00D2553C">
                            <w:pPr>
                              <w:pStyle w:val="ListParagraph"/>
                              <w:spacing w:line="288" w:lineRule="auto"/>
                              <w:ind w:left="572"/>
                              <w:contextualSpacing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3E93" id="Rectangle 37" o:spid="_x0000_s1027" style="position:absolute;left:0;text-align:left;margin-left:1pt;margin-top:13.85pt;width:546pt;height:575.4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" fillcolor="#e6e6e1" stroked="f">
                <o:lock v:ext="edit" aspectratio="t"/>
                <v:textbox>
                  <w:txbxContent>
                    <w:p w14:paraId="007A98DF" w14:textId="77777777" w:rsidR="00337141" w:rsidRDefault="00337141" w:rsidP="002C56DA">
                      <w:pPr>
                        <w:spacing w:before="120"/>
                        <w:jc w:val="center"/>
                        <w:rPr>
                          <w:lang w:val="en-US"/>
                        </w:rPr>
                      </w:pPr>
                    </w:p>
                    <w:p w14:paraId="7A474075" w14:textId="77777777" w:rsidR="00337141" w:rsidRPr="00DC3F41" w:rsidRDefault="00337141" w:rsidP="00D2553C">
                      <w:pPr>
                        <w:pStyle w:val="ListParagraph"/>
                        <w:spacing w:line="288" w:lineRule="auto"/>
                        <w:ind w:left="572"/>
                        <w:contextualSpacing w:val="0"/>
                      </w:pPr>
                    </w:p>
                  </w:txbxContent>
                </v:textbox>
                <w10:wrap anchorx="page"/>
              </v:rect>
            </w:pict>
          </mc:Fallback>
        </mc:AlternateContent>
      </w:r>
      <w:r w:rsidR="00700D23" w:rsidRPr="007A419D">
        <w:rPr>
          <w:rFonts w:cs="Calibri"/>
          <w:noProof/>
          <w:sz w:val="28"/>
          <w:szCs w:val="28"/>
          <w:lang w:eastAsia="el-GR"/>
        </w:rPr>
        <mc:AlternateContent>
          <mc:Choice Requires="wps">
            <w:drawing>
              <wp:anchor distT="0" distB="0" distL="114300" distR="114300" simplePos="0" relativeHeight="251800576" behindDoc="0" locked="0" layoutInCell="1" allowOverlap="1" wp14:anchorId="11895F51" wp14:editId="5E1A6EBB">
                <wp:simplePos x="0" y="0"/>
                <wp:positionH relativeFrom="column">
                  <wp:posOffset>3838575</wp:posOffset>
                </wp:positionH>
                <wp:positionV relativeFrom="paragraph">
                  <wp:posOffset>126448</wp:posOffset>
                </wp:positionV>
                <wp:extent cx="1229995" cy="78740"/>
                <wp:effectExtent l="0" t="0" r="8255" b="0"/>
                <wp:wrapNone/>
                <wp:docPr id="28" name="Rectangle 101" descr="Accent bar right&#10;">
                  <a:extLst xmlns:a="http://schemas.openxmlformats.org/drawingml/2006/main">
                    <a:ext uri="{FF2B5EF4-FFF2-40B4-BE49-F238E27FC236}">
                      <a16:creationId xmlns:a16="http://schemas.microsoft.com/office/drawing/2014/main" id="{A7CD04AE-9A8B-4DED-855D-F51B510D0B69}"/>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9995" cy="78740"/>
                        </a:xfrm>
                        <a:prstGeom prst="rect">
                          <a:avLst/>
                        </a:prstGeom>
                        <a:solidFill>
                          <a:srgbClr val="6691AB"/>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035B30D" id="Rectangle 101" o:spid="_x0000_s1026" alt="Accent bar right&#10;" style="position:absolute;margin-left:302.25pt;margin-top:9.95pt;width:96.85pt;height:6.2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" fillcolor="#6691ab" stroked="f" strokeweight="1pt"/>
            </w:pict>
          </mc:Fallback>
        </mc:AlternateContent>
      </w:r>
    </w:p>
    <w:p w14:paraId="7CE3869C" w14:textId="131F3AEA" w:rsidR="00C1355C" w:rsidRDefault="00C1355C" w:rsidP="00C1355C">
      <w:pPr>
        <w:kinsoku w:val="0"/>
        <w:overflowPunct w:val="0"/>
        <w:autoSpaceDE w:val="0"/>
        <w:autoSpaceDN w:val="0"/>
        <w:adjustRightInd w:val="0"/>
        <w:spacing w:after="0" w:line="300" w:lineRule="exact"/>
        <w:ind w:left="-630" w:right="245"/>
        <w:jc w:val="both"/>
        <w:rPr>
          <w:rFonts w:cs="Arial"/>
          <w:sz w:val="20"/>
          <w:szCs w:val="20"/>
        </w:rPr>
      </w:pPr>
      <w:r>
        <w:rPr>
          <w:rFonts w:cs="Arial"/>
          <w:sz w:val="20"/>
          <w:szCs w:val="20"/>
        </w:rPr>
        <w:t>Η</w:t>
      </w:r>
      <w:r w:rsidRPr="00685E74">
        <w:rPr>
          <w:rFonts w:cs="Arial"/>
          <w:sz w:val="20"/>
          <w:szCs w:val="20"/>
        </w:rPr>
        <w:t xml:space="preserve"> </w:t>
      </w:r>
      <w:r>
        <w:rPr>
          <w:rFonts w:cs="Arial"/>
          <w:sz w:val="20"/>
          <w:szCs w:val="20"/>
        </w:rPr>
        <w:t>Πειραιώς</w:t>
      </w:r>
      <w:r w:rsidRPr="00685E74">
        <w:rPr>
          <w:rFonts w:cs="Arial"/>
          <w:sz w:val="20"/>
          <w:szCs w:val="20"/>
        </w:rPr>
        <w:t xml:space="preserve"> </w:t>
      </w:r>
      <w:r>
        <w:rPr>
          <w:rFonts w:cs="Arial"/>
          <w:sz w:val="20"/>
          <w:szCs w:val="20"/>
          <w:lang w:val="en-US"/>
        </w:rPr>
        <w:t>Financial</w:t>
      </w:r>
      <w:r w:rsidRPr="00685E74">
        <w:rPr>
          <w:rFonts w:cs="Arial"/>
          <w:sz w:val="20"/>
          <w:szCs w:val="20"/>
        </w:rPr>
        <w:t xml:space="preserve"> </w:t>
      </w:r>
      <w:r>
        <w:rPr>
          <w:rFonts w:cs="Arial"/>
          <w:sz w:val="20"/>
          <w:szCs w:val="20"/>
          <w:lang w:val="en-US"/>
        </w:rPr>
        <w:t>Holdings</w:t>
      </w:r>
      <w:r w:rsidRPr="00685E74">
        <w:rPr>
          <w:rFonts w:cs="Arial"/>
          <w:sz w:val="20"/>
          <w:szCs w:val="20"/>
        </w:rPr>
        <w:t xml:space="preserve"> </w:t>
      </w:r>
      <w:r>
        <w:rPr>
          <w:rFonts w:cs="Arial"/>
          <w:sz w:val="20"/>
          <w:szCs w:val="20"/>
        </w:rPr>
        <w:t>ανακοινώνει</w:t>
      </w:r>
      <w:r w:rsidRPr="00685E74">
        <w:rPr>
          <w:rFonts w:cs="Arial"/>
          <w:sz w:val="20"/>
          <w:szCs w:val="20"/>
        </w:rPr>
        <w:t xml:space="preserve"> </w:t>
      </w:r>
      <w:r>
        <w:rPr>
          <w:rFonts w:cs="Arial"/>
          <w:sz w:val="20"/>
          <w:szCs w:val="20"/>
        </w:rPr>
        <w:t>σήμερα</w:t>
      </w:r>
      <w:r w:rsidRPr="00685E74">
        <w:rPr>
          <w:rFonts w:cs="Arial"/>
          <w:sz w:val="20"/>
          <w:szCs w:val="20"/>
        </w:rPr>
        <w:t xml:space="preserve"> </w:t>
      </w:r>
      <w:r>
        <w:rPr>
          <w:rFonts w:cs="Arial"/>
          <w:sz w:val="20"/>
          <w:szCs w:val="20"/>
        </w:rPr>
        <w:t>σειρά</w:t>
      </w:r>
      <w:r w:rsidRPr="00685E74">
        <w:rPr>
          <w:rFonts w:cs="Arial"/>
          <w:sz w:val="20"/>
          <w:szCs w:val="20"/>
        </w:rPr>
        <w:t xml:space="preserve"> </w:t>
      </w:r>
      <w:r>
        <w:rPr>
          <w:rFonts w:cs="Arial"/>
          <w:sz w:val="20"/>
          <w:szCs w:val="20"/>
        </w:rPr>
        <w:t xml:space="preserve">συντονισμένων και </w:t>
      </w:r>
      <w:proofErr w:type="spellStart"/>
      <w:r w:rsidR="00E9669D">
        <w:rPr>
          <w:rFonts w:cs="Arial"/>
          <w:sz w:val="20"/>
          <w:szCs w:val="20"/>
        </w:rPr>
        <w:t>στοχευμένων</w:t>
      </w:r>
      <w:proofErr w:type="spellEnd"/>
      <w:r>
        <w:rPr>
          <w:rFonts w:cs="Arial"/>
          <w:sz w:val="20"/>
          <w:szCs w:val="20"/>
        </w:rPr>
        <w:t xml:space="preserve"> ενεργειών</w:t>
      </w:r>
      <w:r w:rsidR="00E9669D">
        <w:rPr>
          <w:rFonts w:cs="Arial"/>
          <w:sz w:val="20"/>
          <w:szCs w:val="20"/>
        </w:rPr>
        <w:t xml:space="preserve">, </w:t>
      </w:r>
      <w:r w:rsidR="00FB6122">
        <w:rPr>
          <w:rFonts w:cs="Arial"/>
          <w:sz w:val="20"/>
          <w:szCs w:val="20"/>
        </w:rPr>
        <w:t xml:space="preserve">με στόχο </w:t>
      </w:r>
      <w:r>
        <w:rPr>
          <w:rFonts w:cs="Arial"/>
          <w:sz w:val="20"/>
          <w:szCs w:val="20"/>
        </w:rPr>
        <w:t>τη</w:t>
      </w:r>
      <w:r w:rsidR="00FB6122">
        <w:rPr>
          <w:rFonts w:cs="Arial"/>
          <w:sz w:val="20"/>
          <w:szCs w:val="20"/>
        </w:rPr>
        <w:t>ν</w:t>
      </w:r>
      <w:r>
        <w:rPr>
          <w:rFonts w:cs="Arial"/>
          <w:sz w:val="20"/>
          <w:szCs w:val="20"/>
        </w:rPr>
        <w:t xml:space="preserve"> επιτάχυνση του πλάνου μείωσης των </w:t>
      </w:r>
      <w:r w:rsidR="00182520">
        <w:rPr>
          <w:rFonts w:cs="Arial"/>
          <w:sz w:val="20"/>
          <w:szCs w:val="20"/>
          <w:lang w:val="en-US"/>
        </w:rPr>
        <w:t>NPEs</w:t>
      </w:r>
      <w:r>
        <w:rPr>
          <w:rFonts w:cs="Arial"/>
          <w:sz w:val="20"/>
          <w:szCs w:val="20"/>
        </w:rPr>
        <w:t xml:space="preserve"> της Τράπεζας Πειραιώς και την περαιτέρω ενίσχυση της κεφαλαι</w:t>
      </w:r>
      <w:r w:rsidR="00E9669D">
        <w:rPr>
          <w:rFonts w:cs="Arial"/>
          <w:sz w:val="20"/>
          <w:szCs w:val="20"/>
        </w:rPr>
        <w:t>α</w:t>
      </w:r>
      <w:r>
        <w:rPr>
          <w:rFonts w:cs="Arial"/>
          <w:sz w:val="20"/>
          <w:szCs w:val="20"/>
        </w:rPr>
        <w:t xml:space="preserve">κής της θέσης (Σχέδιο </w:t>
      </w:r>
      <w:r>
        <w:rPr>
          <w:rFonts w:cs="Arial"/>
          <w:sz w:val="20"/>
          <w:szCs w:val="20"/>
          <w:lang w:val="en-US"/>
        </w:rPr>
        <w:t>Sunrise</w:t>
      </w:r>
      <w:r>
        <w:rPr>
          <w:rFonts w:cs="Arial"/>
          <w:sz w:val="20"/>
          <w:szCs w:val="20"/>
        </w:rPr>
        <w:t>)</w:t>
      </w:r>
      <w:r w:rsidRPr="00685E74">
        <w:rPr>
          <w:rFonts w:cs="Arial"/>
          <w:sz w:val="20"/>
          <w:szCs w:val="20"/>
        </w:rPr>
        <w:t xml:space="preserve">. </w:t>
      </w:r>
      <w:r>
        <w:rPr>
          <w:rFonts w:cs="Arial"/>
          <w:sz w:val="20"/>
          <w:szCs w:val="20"/>
        </w:rPr>
        <w:t xml:space="preserve">Το πλάνο περιλαμβάνει </w:t>
      </w:r>
      <w:r w:rsidR="00E9669D">
        <w:rPr>
          <w:rFonts w:cs="Arial"/>
          <w:sz w:val="20"/>
          <w:szCs w:val="20"/>
        </w:rPr>
        <w:t>τρεις</w:t>
      </w:r>
      <w:r>
        <w:rPr>
          <w:rFonts w:cs="Arial"/>
          <w:sz w:val="20"/>
          <w:szCs w:val="20"/>
        </w:rPr>
        <w:t xml:space="preserve"> πυλώνες:</w:t>
      </w:r>
    </w:p>
    <w:p w14:paraId="3FB00150" w14:textId="2AAA61FB" w:rsidR="00C1355C" w:rsidRPr="00685E74" w:rsidRDefault="00C1355C" w:rsidP="00C1355C">
      <w:pPr>
        <w:numPr>
          <w:ilvl w:val="0"/>
          <w:numId w:val="30"/>
        </w:numPr>
        <w:tabs>
          <w:tab w:val="left" w:pos="528"/>
        </w:tabs>
        <w:kinsoku w:val="0"/>
        <w:overflowPunct w:val="0"/>
        <w:autoSpaceDE w:val="0"/>
        <w:autoSpaceDN w:val="0"/>
        <w:adjustRightInd w:val="0"/>
        <w:spacing w:before="240" w:after="0" w:line="300" w:lineRule="exact"/>
        <w:ind w:left="-630" w:right="245" w:hanging="270"/>
        <w:jc w:val="both"/>
        <w:rPr>
          <w:rFonts w:cs="Arial"/>
          <w:sz w:val="20"/>
          <w:szCs w:val="20"/>
        </w:rPr>
      </w:pPr>
      <w:r>
        <w:rPr>
          <w:rFonts w:cs="Arial"/>
          <w:sz w:val="20"/>
          <w:szCs w:val="20"/>
        </w:rPr>
        <w:t>Την</w:t>
      </w:r>
      <w:r w:rsidRPr="00685E74">
        <w:rPr>
          <w:rFonts w:cs="Arial"/>
          <w:sz w:val="20"/>
          <w:szCs w:val="20"/>
        </w:rPr>
        <w:t xml:space="preserve"> </w:t>
      </w:r>
      <w:r>
        <w:rPr>
          <w:rFonts w:cs="Arial"/>
          <w:sz w:val="20"/>
          <w:szCs w:val="20"/>
        </w:rPr>
        <w:t>επιτάχυνση</w:t>
      </w:r>
      <w:r w:rsidRPr="00685E74">
        <w:rPr>
          <w:rFonts w:cs="Arial"/>
          <w:sz w:val="20"/>
          <w:szCs w:val="20"/>
        </w:rPr>
        <w:t xml:space="preserve"> </w:t>
      </w:r>
      <w:r w:rsidR="00FB6122">
        <w:rPr>
          <w:rFonts w:cs="Arial"/>
          <w:sz w:val="20"/>
          <w:szCs w:val="20"/>
        </w:rPr>
        <w:t xml:space="preserve">του σχεδίου </w:t>
      </w:r>
      <w:r>
        <w:rPr>
          <w:rFonts w:cs="Arial"/>
          <w:sz w:val="20"/>
          <w:szCs w:val="20"/>
        </w:rPr>
        <w:t>μείωσης</w:t>
      </w:r>
      <w:r w:rsidRPr="00685E74">
        <w:rPr>
          <w:rFonts w:cs="Arial"/>
          <w:sz w:val="20"/>
          <w:szCs w:val="20"/>
        </w:rPr>
        <w:t xml:space="preserve"> </w:t>
      </w:r>
      <w:r>
        <w:rPr>
          <w:rFonts w:cs="Arial"/>
          <w:sz w:val="20"/>
          <w:szCs w:val="20"/>
        </w:rPr>
        <w:t>των</w:t>
      </w:r>
      <w:r w:rsidRPr="00685E74">
        <w:rPr>
          <w:rFonts w:cs="Arial"/>
          <w:sz w:val="20"/>
          <w:szCs w:val="20"/>
        </w:rPr>
        <w:t xml:space="preserve"> </w:t>
      </w:r>
      <w:r w:rsidR="00182520">
        <w:rPr>
          <w:rFonts w:cs="Arial"/>
          <w:sz w:val="20"/>
          <w:szCs w:val="20"/>
          <w:lang w:val="en-US"/>
        </w:rPr>
        <w:t>NPEs</w:t>
      </w:r>
      <w:r w:rsidRPr="00685E74">
        <w:rPr>
          <w:rFonts w:cs="Arial"/>
          <w:sz w:val="20"/>
          <w:szCs w:val="20"/>
        </w:rPr>
        <w:t xml:space="preserve"> </w:t>
      </w:r>
      <w:r>
        <w:rPr>
          <w:rFonts w:cs="Arial"/>
          <w:sz w:val="20"/>
          <w:szCs w:val="20"/>
        </w:rPr>
        <w:t>με</w:t>
      </w:r>
      <w:r w:rsidRPr="00685E74">
        <w:rPr>
          <w:rFonts w:cs="Arial"/>
          <w:sz w:val="20"/>
          <w:szCs w:val="20"/>
        </w:rPr>
        <w:t xml:space="preserve"> </w:t>
      </w:r>
      <w:r>
        <w:rPr>
          <w:rFonts w:cs="Arial"/>
          <w:sz w:val="20"/>
          <w:szCs w:val="20"/>
        </w:rPr>
        <w:t>στόχο</w:t>
      </w:r>
      <w:r w:rsidRPr="00685E74">
        <w:rPr>
          <w:rFonts w:cs="Arial"/>
          <w:sz w:val="20"/>
          <w:szCs w:val="20"/>
        </w:rPr>
        <w:t xml:space="preserve"> </w:t>
      </w:r>
      <w:r w:rsidR="00FB6122">
        <w:rPr>
          <w:rFonts w:cs="Arial"/>
          <w:sz w:val="20"/>
          <w:szCs w:val="20"/>
        </w:rPr>
        <w:t xml:space="preserve">την επίτευξη </w:t>
      </w:r>
      <w:r>
        <w:rPr>
          <w:rFonts w:cs="Arial"/>
          <w:sz w:val="20"/>
          <w:szCs w:val="20"/>
        </w:rPr>
        <w:t>μονοψήφιο</w:t>
      </w:r>
      <w:r w:rsidR="00FB6122">
        <w:rPr>
          <w:rFonts w:cs="Arial"/>
          <w:sz w:val="20"/>
          <w:szCs w:val="20"/>
        </w:rPr>
        <w:t>υ</w:t>
      </w:r>
      <w:r w:rsidRPr="00685E74">
        <w:rPr>
          <w:rFonts w:cs="Arial"/>
          <w:sz w:val="20"/>
          <w:szCs w:val="20"/>
        </w:rPr>
        <w:t xml:space="preserve"> </w:t>
      </w:r>
      <w:r>
        <w:rPr>
          <w:rFonts w:cs="Arial"/>
          <w:sz w:val="20"/>
          <w:szCs w:val="20"/>
        </w:rPr>
        <w:t>δείκτη</w:t>
      </w:r>
      <w:r w:rsidRPr="00685E74">
        <w:rPr>
          <w:rFonts w:cs="Arial"/>
          <w:sz w:val="20"/>
          <w:szCs w:val="20"/>
        </w:rPr>
        <w:t xml:space="preserve"> </w:t>
      </w:r>
      <w:r w:rsidR="00182520">
        <w:rPr>
          <w:rFonts w:cs="Arial"/>
          <w:sz w:val="20"/>
          <w:szCs w:val="20"/>
          <w:lang w:val="en-US"/>
        </w:rPr>
        <w:t>NPE</w:t>
      </w:r>
      <w:r w:rsidR="00E9669D" w:rsidRPr="00E9669D">
        <w:rPr>
          <w:rFonts w:cs="Arial"/>
          <w:sz w:val="20"/>
          <w:szCs w:val="20"/>
        </w:rPr>
        <w:t xml:space="preserve"> </w:t>
      </w:r>
      <w:r>
        <w:rPr>
          <w:rFonts w:cs="Arial"/>
          <w:sz w:val="20"/>
          <w:szCs w:val="20"/>
        </w:rPr>
        <w:t>στους</w:t>
      </w:r>
      <w:r w:rsidRPr="00685E74">
        <w:rPr>
          <w:rFonts w:cs="Arial"/>
          <w:sz w:val="20"/>
          <w:szCs w:val="20"/>
        </w:rPr>
        <w:t xml:space="preserve"> </w:t>
      </w:r>
      <w:r>
        <w:rPr>
          <w:rFonts w:cs="Arial"/>
          <w:sz w:val="20"/>
          <w:szCs w:val="20"/>
        </w:rPr>
        <w:t>επόμενους</w:t>
      </w:r>
      <w:r w:rsidRPr="00685E74">
        <w:rPr>
          <w:rFonts w:cs="Arial"/>
          <w:sz w:val="20"/>
          <w:szCs w:val="20"/>
        </w:rPr>
        <w:t xml:space="preserve"> 12 </w:t>
      </w:r>
      <w:r>
        <w:rPr>
          <w:rFonts w:cs="Arial"/>
          <w:sz w:val="20"/>
          <w:szCs w:val="20"/>
        </w:rPr>
        <w:t>μήνες</w:t>
      </w:r>
      <w:r w:rsidRPr="00685E74">
        <w:rPr>
          <w:rFonts w:cs="Arial"/>
          <w:sz w:val="20"/>
          <w:szCs w:val="20"/>
        </w:rPr>
        <w:t xml:space="preserve">, </w:t>
      </w:r>
      <w:r>
        <w:rPr>
          <w:rFonts w:cs="Arial"/>
          <w:sz w:val="20"/>
          <w:szCs w:val="20"/>
        </w:rPr>
        <w:t>μέσω</w:t>
      </w:r>
      <w:r w:rsidRPr="00685E74">
        <w:rPr>
          <w:rFonts w:cs="Arial"/>
          <w:sz w:val="20"/>
          <w:szCs w:val="20"/>
        </w:rPr>
        <w:t xml:space="preserve"> </w:t>
      </w:r>
      <w:r>
        <w:rPr>
          <w:rFonts w:cs="Arial"/>
          <w:sz w:val="20"/>
          <w:szCs w:val="20"/>
        </w:rPr>
        <w:t>της</w:t>
      </w:r>
      <w:r w:rsidRPr="00685E74">
        <w:rPr>
          <w:rFonts w:cs="Arial"/>
          <w:sz w:val="20"/>
          <w:szCs w:val="20"/>
        </w:rPr>
        <w:t xml:space="preserve"> </w:t>
      </w:r>
      <w:proofErr w:type="spellStart"/>
      <w:r>
        <w:rPr>
          <w:rFonts w:cs="Arial"/>
          <w:sz w:val="20"/>
          <w:szCs w:val="20"/>
        </w:rPr>
        <w:t>τιτλοποίησης</w:t>
      </w:r>
      <w:proofErr w:type="spellEnd"/>
      <w:r>
        <w:rPr>
          <w:rFonts w:cs="Arial"/>
          <w:sz w:val="20"/>
          <w:szCs w:val="20"/>
        </w:rPr>
        <w:t xml:space="preserve"> και </w:t>
      </w:r>
      <w:r w:rsidR="00FB6122">
        <w:rPr>
          <w:rFonts w:cs="Arial"/>
          <w:sz w:val="20"/>
          <w:szCs w:val="20"/>
        </w:rPr>
        <w:t xml:space="preserve">στη συνέχεια </w:t>
      </w:r>
      <w:proofErr w:type="spellStart"/>
      <w:r>
        <w:rPr>
          <w:rFonts w:cs="Arial"/>
          <w:sz w:val="20"/>
          <w:szCs w:val="20"/>
        </w:rPr>
        <w:t>αποαναγνώρισης</w:t>
      </w:r>
      <w:proofErr w:type="spellEnd"/>
      <w:r>
        <w:rPr>
          <w:rFonts w:cs="Arial"/>
          <w:sz w:val="20"/>
          <w:szCs w:val="20"/>
        </w:rPr>
        <w:t xml:space="preserve"> </w:t>
      </w:r>
      <w:r w:rsidR="00182520">
        <w:rPr>
          <w:rFonts w:cs="Arial"/>
          <w:sz w:val="20"/>
          <w:szCs w:val="20"/>
          <w:lang w:val="en-US"/>
        </w:rPr>
        <w:t>NPEs</w:t>
      </w:r>
      <w:r w:rsidR="00E9669D" w:rsidRPr="00E9669D">
        <w:rPr>
          <w:rFonts w:cs="Arial"/>
          <w:sz w:val="20"/>
          <w:szCs w:val="20"/>
        </w:rPr>
        <w:t xml:space="preserve"> </w:t>
      </w:r>
      <w:r>
        <w:rPr>
          <w:rFonts w:cs="Arial"/>
          <w:sz w:val="20"/>
          <w:szCs w:val="20"/>
        </w:rPr>
        <w:t xml:space="preserve">συνολικής </w:t>
      </w:r>
      <w:r w:rsidRPr="005563F0">
        <w:rPr>
          <w:sz w:val="20"/>
          <w:szCs w:val="20"/>
        </w:rPr>
        <w:t>εκτιμώμενη</w:t>
      </w:r>
      <w:r>
        <w:rPr>
          <w:sz w:val="20"/>
          <w:szCs w:val="20"/>
        </w:rPr>
        <w:t>ς</w:t>
      </w:r>
      <w:r w:rsidRPr="005563F0">
        <w:rPr>
          <w:sz w:val="20"/>
          <w:szCs w:val="20"/>
        </w:rPr>
        <w:t xml:space="preserve"> </w:t>
      </w:r>
      <w:r>
        <w:rPr>
          <w:sz w:val="20"/>
          <w:szCs w:val="20"/>
        </w:rPr>
        <w:t>μεικτής</w:t>
      </w:r>
      <w:r w:rsidRPr="005563F0">
        <w:rPr>
          <w:sz w:val="20"/>
          <w:szCs w:val="20"/>
        </w:rPr>
        <w:t xml:space="preserve"> λογιστική</w:t>
      </w:r>
      <w:r>
        <w:rPr>
          <w:sz w:val="20"/>
          <w:szCs w:val="20"/>
        </w:rPr>
        <w:t xml:space="preserve">ς αξίας €19 </w:t>
      </w:r>
      <w:r w:rsidR="009979CE">
        <w:rPr>
          <w:sz w:val="20"/>
          <w:szCs w:val="20"/>
        </w:rPr>
        <w:t>δισ.</w:t>
      </w:r>
      <w:r>
        <w:rPr>
          <w:sz w:val="20"/>
          <w:szCs w:val="20"/>
        </w:rPr>
        <w:t xml:space="preserve"> (συμπεριλαμβανομένων των </w:t>
      </w:r>
      <w:proofErr w:type="spellStart"/>
      <w:r>
        <w:rPr>
          <w:sz w:val="20"/>
          <w:szCs w:val="20"/>
        </w:rPr>
        <w:t>τιτλοποιήσεων</w:t>
      </w:r>
      <w:proofErr w:type="spellEnd"/>
      <w:r>
        <w:rPr>
          <w:sz w:val="20"/>
          <w:szCs w:val="20"/>
        </w:rPr>
        <w:t xml:space="preserve"> </w:t>
      </w:r>
      <w:r w:rsidR="00182520">
        <w:rPr>
          <w:sz w:val="20"/>
          <w:szCs w:val="20"/>
          <w:lang w:val="en-US"/>
        </w:rPr>
        <w:t>NPEs</w:t>
      </w:r>
      <w:r>
        <w:rPr>
          <w:sz w:val="20"/>
          <w:szCs w:val="20"/>
        </w:rPr>
        <w:t xml:space="preserve"> </w:t>
      </w:r>
      <w:r w:rsidR="00FB6122">
        <w:rPr>
          <w:sz w:val="20"/>
          <w:szCs w:val="20"/>
          <w:lang w:val="en-US"/>
        </w:rPr>
        <w:t>Phoenix</w:t>
      </w:r>
      <w:r w:rsidR="00FB6122" w:rsidRPr="001F241B">
        <w:rPr>
          <w:sz w:val="20"/>
          <w:szCs w:val="20"/>
        </w:rPr>
        <w:t xml:space="preserve"> </w:t>
      </w:r>
      <w:r w:rsidR="00FB6122">
        <w:rPr>
          <w:sz w:val="20"/>
          <w:szCs w:val="20"/>
        </w:rPr>
        <w:t xml:space="preserve">και </w:t>
      </w:r>
      <w:r w:rsidR="00FB6122">
        <w:rPr>
          <w:sz w:val="20"/>
          <w:szCs w:val="20"/>
          <w:lang w:val="en-US"/>
        </w:rPr>
        <w:t>Vega</w:t>
      </w:r>
      <w:r w:rsidR="00FB6122">
        <w:rPr>
          <w:sz w:val="20"/>
          <w:szCs w:val="20"/>
        </w:rPr>
        <w:t xml:space="preserve"> </w:t>
      </w:r>
      <w:r>
        <w:rPr>
          <w:sz w:val="20"/>
          <w:szCs w:val="20"/>
        </w:rPr>
        <w:t xml:space="preserve">που έχουν ήδη ανακοινωθεί). </w:t>
      </w:r>
      <w:r w:rsidR="00E9669D">
        <w:rPr>
          <w:sz w:val="20"/>
          <w:szCs w:val="20"/>
        </w:rPr>
        <w:t>Κάνοντας το</w:t>
      </w:r>
      <w:r>
        <w:rPr>
          <w:sz w:val="20"/>
          <w:szCs w:val="20"/>
        </w:rPr>
        <w:t xml:space="preserve"> επόμενο σημαντικό βήμα στην επιτάχυνση του </w:t>
      </w:r>
      <w:r w:rsidR="00FB6122">
        <w:rPr>
          <w:sz w:val="20"/>
          <w:szCs w:val="20"/>
        </w:rPr>
        <w:t>σχεδίου</w:t>
      </w:r>
      <w:r>
        <w:rPr>
          <w:sz w:val="20"/>
          <w:szCs w:val="20"/>
        </w:rPr>
        <w:t xml:space="preserve"> μείωσης των </w:t>
      </w:r>
      <w:r w:rsidR="00182520">
        <w:rPr>
          <w:sz w:val="20"/>
          <w:szCs w:val="20"/>
          <w:lang w:val="en-US"/>
        </w:rPr>
        <w:t>NPEs</w:t>
      </w:r>
      <w:r>
        <w:rPr>
          <w:sz w:val="20"/>
          <w:szCs w:val="20"/>
        </w:rPr>
        <w:t xml:space="preserve">, η Τράπεζα Πειραιώς υπέβαλε σήμερα αίτηση για την ένταξη στο Πρόγραμμα «Ηρακλής» της νέας </w:t>
      </w:r>
      <w:proofErr w:type="spellStart"/>
      <w:r>
        <w:rPr>
          <w:sz w:val="20"/>
          <w:szCs w:val="20"/>
        </w:rPr>
        <w:t>τιτλοποίησης</w:t>
      </w:r>
      <w:proofErr w:type="spellEnd"/>
      <w:r>
        <w:rPr>
          <w:sz w:val="20"/>
          <w:szCs w:val="20"/>
        </w:rPr>
        <w:t xml:space="preserve"> </w:t>
      </w:r>
      <w:r w:rsidR="00182520">
        <w:rPr>
          <w:sz w:val="20"/>
          <w:szCs w:val="20"/>
          <w:lang w:val="en-US"/>
        </w:rPr>
        <w:t>NPEs</w:t>
      </w:r>
      <w:r>
        <w:rPr>
          <w:sz w:val="20"/>
          <w:szCs w:val="20"/>
        </w:rPr>
        <w:t xml:space="preserve"> με </w:t>
      </w:r>
      <w:proofErr w:type="spellStart"/>
      <w:r>
        <w:rPr>
          <w:sz w:val="20"/>
          <w:szCs w:val="20"/>
        </w:rPr>
        <w:t>κωδική</w:t>
      </w:r>
      <w:proofErr w:type="spellEnd"/>
      <w:r>
        <w:rPr>
          <w:sz w:val="20"/>
          <w:szCs w:val="20"/>
        </w:rPr>
        <w:t xml:space="preserve"> ονομασία </w:t>
      </w:r>
      <w:r w:rsidRPr="001F241B">
        <w:rPr>
          <w:sz w:val="20"/>
          <w:szCs w:val="20"/>
        </w:rPr>
        <w:t>“</w:t>
      </w:r>
      <w:r>
        <w:rPr>
          <w:sz w:val="20"/>
          <w:szCs w:val="20"/>
          <w:lang w:val="en-US"/>
        </w:rPr>
        <w:t>Sunrise</w:t>
      </w:r>
      <w:r w:rsidRPr="001F241B">
        <w:rPr>
          <w:sz w:val="20"/>
          <w:szCs w:val="20"/>
        </w:rPr>
        <w:t xml:space="preserve"> 1”</w:t>
      </w:r>
      <w:r>
        <w:rPr>
          <w:sz w:val="20"/>
          <w:szCs w:val="20"/>
        </w:rPr>
        <w:t xml:space="preserve"> ύψους περίπου €7 </w:t>
      </w:r>
      <w:r w:rsidR="009979CE">
        <w:rPr>
          <w:sz w:val="20"/>
          <w:szCs w:val="20"/>
        </w:rPr>
        <w:t>δισ.</w:t>
      </w:r>
      <w:r>
        <w:rPr>
          <w:sz w:val="20"/>
          <w:szCs w:val="20"/>
        </w:rPr>
        <w:t>,</w:t>
      </w:r>
    </w:p>
    <w:p w14:paraId="5E2F309A" w14:textId="5C56DD95" w:rsidR="00C1355C" w:rsidRPr="001F241B" w:rsidRDefault="00C1355C" w:rsidP="00C1355C">
      <w:pPr>
        <w:numPr>
          <w:ilvl w:val="0"/>
          <w:numId w:val="30"/>
        </w:numPr>
        <w:tabs>
          <w:tab w:val="left" w:pos="528"/>
        </w:tabs>
        <w:kinsoku w:val="0"/>
        <w:overflowPunct w:val="0"/>
        <w:autoSpaceDE w:val="0"/>
        <w:autoSpaceDN w:val="0"/>
        <w:adjustRightInd w:val="0"/>
        <w:spacing w:before="240" w:after="0" w:line="300" w:lineRule="exact"/>
        <w:ind w:left="-630" w:right="250" w:hanging="270"/>
        <w:jc w:val="both"/>
        <w:rPr>
          <w:rFonts w:cs="Arial"/>
          <w:sz w:val="20"/>
          <w:szCs w:val="20"/>
        </w:rPr>
      </w:pPr>
      <w:r>
        <w:rPr>
          <w:rFonts w:cs="Arial"/>
          <w:sz w:val="20"/>
          <w:szCs w:val="20"/>
        </w:rPr>
        <w:t>Την αύξηση</w:t>
      </w:r>
      <w:r w:rsidRPr="001F241B">
        <w:rPr>
          <w:rFonts w:cs="Arial"/>
          <w:sz w:val="20"/>
          <w:szCs w:val="20"/>
        </w:rPr>
        <w:t xml:space="preserve"> </w:t>
      </w:r>
      <w:r>
        <w:rPr>
          <w:rFonts w:cs="Arial"/>
          <w:sz w:val="20"/>
          <w:szCs w:val="20"/>
        </w:rPr>
        <w:t>του μετοχικού</w:t>
      </w:r>
      <w:r w:rsidRPr="001F241B">
        <w:rPr>
          <w:rFonts w:cs="Arial"/>
          <w:sz w:val="20"/>
          <w:szCs w:val="20"/>
        </w:rPr>
        <w:t xml:space="preserve"> </w:t>
      </w:r>
      <w:r>
        <w:rPr>
          <w:rFonts w:cs="Arial"/>
          <w:sz w:val="20"/>
          <w:szCs w:val="20"/>
        </w:rPr>
        <w:t>κεφαλαίου</w:t>
      </w:r>
      <w:r w:rsidRPr="001F241B">
        <w:rPr>
          <w:rFonts w:cs="Arial"/>
          <w:sz w:val="20"/>
          <w:szCs w:val="20"/>
        </w:rPr>
        <w:t xml:space="preserve"> </w:t>
      </w:r>
      <w:r>
        <w:rPr>
          <w:rFonts w:cs="Arial"/>
          <w:sz w:val="20"/>
          <w:szCs w:val="20"/>
        </w:rPr>
        <w:t>της</w:t>
      </w:r>
      <w:r w:rsidRPr="001F241B">
        <w:rPr>
          <w:rFonts w:cs="Arial"/>
          <w:sz w:val="20"/>
          <w:szCs w:val="20"/>
        </w:rPr>
        <w:t xml:space="preserve"> </w:t>
      </w:r>
      <w:r>
        <w:rPr>
          <w:rFonts w:cs="Arial"/>
          <w:sz w:val="20"/>
          <w:szCs w:val="20"/>
        </w:rPr>
        <w:t>Πειραιώς</w:t>
      </w:r>
      <w:r w:rsidRPr="001F241B">
        <w:rPr>
          <w:rFonts w:cs="Arial"/>
          <w:sz w:val="20"/>
          <w:szCs w:val="20"/>
        </w:rPr>
        <w:t xml:space="preserve"> </w:t>
      </w:r>
      <w:r>
        <w:rPr>
          <w:rFonts w:cs="Arial"/>
          <w:sz w:val="20"/>
          <w:szCs w:val="20"/>
          <w:lang w:val="en-US"/>
        </w:rPr>
        <w:t>Financial</w:t>
      </w:r>
      <w:r w:rsidRPr="001F241B">
        <w:rPr>
          <w:rFonts w:cs="Arial"/>
          <w:sz w:val="20"/>
          <w:szCs w:val="20"/>
        </w:rPr>
        <w:t xml:space="preserve"> </w:t>
      </w:r>
      <w:r>
        <w:rPr>
          <w:rFonts w:cs="Arial"/>
          <w:sz w:val="20"/>
          <w:szCs w:val="20"/>
          <w:lang w:val="en-US"/>
        </w:rPr>
        <w:t>Holdings</w:t>
      </w:r>
      <w:r w:rsidRPr="001F241B">
        <w:rPr>
          <w:rFonts w:cs="Arial"/>
          <w:sz w:val="20"/>
          <w:szCs w:val="20"/>
        </w:rPr>
        <w:t xml:space="preserve"> </w:t>
      </w:r>
      <w:r w:rsidR="00FB6122">
        <w:rPr>
          <w:rFonts w:cs="Arial"/>
          <w:sz w:val="20"/>
          <w:szCs w:val="20"/>
        </w:rPr>
        <w:t xml:space="preserve">κατά </w:t>
      </w:r>
      <w:r>
        <w:rPr>
          <w:rFonts w:cs="Arial"/>
          <w:sz w:val="20"/>
          <w:szCs w:val="20"/>
        </w:rPr>
        <w:t>περίπου</w:t>
      </w:r>
      <w:r w:rsidRPr="001F241B">
        <w:rPr>
          <w:rFonts w:cs="Arial"/>
          <w:sz w:val="20"/>
          <w:szCs w:val="20"/>
        </w:rPr>
        <w:t xml:space="preserve"> €1,0 </w:t>
      </w:r>
      <w:r w:rsidR="009979CE">
        <w:rPr>
          <w:rFonts w:cs="Arial"/>
          <w:sz w:val="20"/>
          <w:szCs w:val="20"/>
        </w:rPr>
        <w:t>δισ.</w:t>
      </w:r>
      <w:r w:rsidRPr="001F241B">
        <w:rPr>
          <w:rFonts w:cs="Arial"/>
          <w:sz w:val="20"/>
          <w:szCs w:val="20"/>
        </w:rPr>
        <w:t xml:space="preserve"> </w:t>
      </w:r>
      <w:r>
        <w:rPr>
          <w:rFonts w:cs="Arial"/>
          <w:sz w:val="20"/>
          <w:szCs w:val="20"/>
        </w:rPr>
        <w:t>μέσω</w:t>
      </w:r>
      <w:r w:rsidRPr="001F241B">
        <w:rPr>
          <w:rFonts w:cs="Arial"/>
          <w:sz w:val="20"/>
          <w:szCs w:val="20"/>
        </w:rPr>
        <w:t xml:space="preserve"> </w:t>
      </w:r>
      <w:r>
        <w:rPr>
          <w:rFonts w:cs="Arial"/>
          <w:sz w:val="20"/>
          <w:szCs w:val="20"/>
        </w:rPr>
        <w:t>δημόσιας</w:t>
      </w:r>
      <w:r w:rsidRPr="001F241B">
        <w:rPr>
          <w:rFonts w:cs="Arial"/>
          <w:sz w:val="20"/>
          <w:szCs w:val="20"/>
        </w:rPr>
        <w:t xml:space="preserve"> </w:t>
      </w:r>
      <w:r>
        <w:rPr>
          <w:rFonts w:cs="Arial"/>
          <w:sz w:val="20"/>
          <w:szCs w:val="20"/>
        </w:rPr>
        <w:t>προσφοράς</w:t>
      </w:r>
      <w:r w:rsidRPr="001F241B">
        <w:rPr>
          <w:rFonts w:cs="Arial"/>
          <w:sz w:val="20"/>
          <w:szCs w:val="20"/>
        </w:rPr>
        <w:t xml:space="preserve"> </w:t>
      </w:r>
      <w:r>
        <w:rPr>
          <w:rFonts w:cs="Arial"/>
          <w:sz w:val="20"/>
          <w:szCs w:val="20"/>
        </w:rPr>
        <w:t>με κατάργηση</w:t>
      </w:r>
      <w:r w:rsidRPr="001F241B">
        <w:rPr>
          <w:rFonts w:cs="Arial"/>
          <w:sz w:val="20"/>
          <w:szCs w:val="20"/>
        </w:rPr>
        <w:t xml:space="preserve"> </w:t>
      </w:r>
      <w:r>
        <w:rPr>
          <w:rFonts w:cs="Arial"/>
          <w:sz w:val="20"/>
          <w:szCs w:val="20"/>
        </w:rPr>
        <w:t>δικαιωμάτων</w:t>
      </w:r>
      <w:r w:rsidR="00676C5E">
        <w:rPr>
          <w:rFonts w:cs="Arial"/>
          <w:sz w:val="20"/>
          <w:szCs w:val="20"/>
        </w:rPr>
        <w:t xml:space="preserve"> προτίμησης</w:t>
      </w:r>
      <w:r w:rsidRPr="001F241B">
        <w:rPr>
          <w:rFonts w:cs="Arial"/>
          <w:sz w:val="20"/>
          <w:szCs w:val="20"/>
        </w:rPr>
        <w:t xml:space="preserve">, </w:t>
      </w:r>
      <w:r>
        <w:rPr>
          <w:rFonts w:cs="Arial"/>
          <w:sz w:val="20"/>
          <w:szCs w:val="20"/>
        </w:rPr>
        <w:t>η</w:t>
      </w:r>
      <w:r w:rsidRPr="001F241B">
        <w:rPr>
          <w:rFonts w:cs="Arial"/>
          <w:sz w:val="20"/>
          <w:szCs w:val="20"/>
        </w:rPr>
        <w:t xml:space="preserve"> </w:t>
      </w:r>
      <w:r>
        <w:rPr>
          <w:rFonts w:cs="Arial"/>
          <w:sz w:val="20"/>
          <w:szCs w:val="20"/>
        </w:rPr>
        <w:t>οποία</w:t>
      </w:r>
      <w:r w:rsidRPr="001F241B">
        <w:rPr>
          <w:rFonts w:cs="Arial"/>
          <w:sz w:val="20"/>
          <w:szCs w:val="20"/>
        </w:rPr>
        <w:t xml:space="preserve"> </w:t>
      </w:r>
      <w:r>
        <w:rPr>
          <w:rFonts w:cs="Arial"/>
          <w:sz w:val="20"/>
          <w:szCs w:val="20"/>
        </w:rPr>
        <w:t>σε</w:t>
      </w:r>
      <w:r w:rsidRPr="001F241B">
        <w:rPr>
          <w:rFonts w:cs="Arial"/>
          <w:sz w:val="20"/>
          <w:szCs w:val="20"/>
        </w:rPr>
        <w:t xml:space="preserve"> </w:t>
      </w:r>
      <w:r>
        <w:rPr>
          <w:rFonts w:cs="Arial"/>
          <w:sz w:val="20"/>
          <w:szCs w:val="20"/>
        </w:rPr>
        <w:t>συνδυασμό</w:t>
      </w:r>
      <w:r w:rsidRPr="001F241B">
        <w:rPr>
          <w:rFonts w:cs="Arial"/>
          <w:sz w:val="20"/>
          <w:szCs w:val="20"/>
        </w:rPr>
        <w:t xml:space="preserve"> </w:t>
      </w:r>
      <w:r>
        <w:rPr>
          <w:rFonts w:cs="Arial"/>
          <w:sz w:val="20"/>
          <w:szCs w:val="20"/>
        </w:rPr>
        <w:t xml:space="preserve">με τις υπόλοιπες κεφαλαιακές ενέργειες που </w:t>
      </w:r>
      <w:r w:rsidR="00C67387">
        <w:rPr>
          <w:rFonts w:cs="Arial"/>
          <w:sz w:val="20"/>
          <w:szCs w:val="20"/>
        </w:rPr>
        <w:t xml:space="preserve">έχουν ολοκληρωθεί ή βρίσκονται σε εξέλιξη και </w:t>
      </w:r>
      <w:r>
        <w:rPr>
          <w:rFonts w:cs="Arial"/>
          <w:sz w:val="20"/>
          <w:szCs w:val="20"/>
        </w:rPr>
        <w:t xml:space="preserve">δεν </w:t>
      </w:r>
      <w:proofErr w:type="spellStart"/>
      <w:r>
        <w:rPr>
          <w:rFonts w:cs="Arial"/>
          <w:sz w:val="20"/>
          <w:szCs w:val="20"/>
        </w:rPr>
        <w:t>απομειώνουν</w:t>
      </w:r>
      <w:proofErr w:type="spellEnd"/>
      <w:r>
        <w:rPr>
          <w:rFonts w:cs="Arial"/>
          <w:sz w:val="20"/>
          <w:szCs w:val="20"/>
        </w:rPr>
        <w:t xml:space="preserve"> την αξία των μετόχων, θα οδηγήσουν σε σωρευτική κεφαλαιακή ενίσχυση περίπου €2,6 </w:t>
      </w:r>
      <w:r w:rsidR="009979CE">
        <w:rPr>
          <w:rFonts w:cs="Arial"/>
          <w:sz w:val="20"/>
          <w:szCs w:val="20"/>
        </w:rPr>
        <w:t>δισ.</w:t>
      </w:r>
      <w:r w:rsidRPr="001F241B">
        <w:rPr>
          <w:rFonts w:cs="Arial"/>
          <w:sz w:val="20"/>
          <w:szCs w:val="20"/>
        </w:rPr>
        <w:t xml:space="preserve">, </w:t>
      </w:r>
      <w:r>
        <w:rPr>
          <w:rFonts w:cs="Arial"/>
          <w:sz w:val="20"/>
          <w:szCs w:val="20"/>
        </w:rPr>
        <w:t>συμπεριλαμβάνοντας δυνητική έκδοση υβριδικ</w:t>
      </w:r>
      <w:r w:rsidR="00B55F0A">
        <w:rPr>
          <w:rFonts w:cs="Arial"/>
          <w:sz w:val="20"/>
          <w:szCs w:val="20"/>
        </w:rPr>
        <w:t>ών</w:t>
      </w:r>
      <w:r>
        <w:rPr>
          <w:rFonts w:cs="Arial"/>
          <w:sz w:val="20"/>
          <w:szCs w:val="20"/>
        </w:rPr>
        <w:t xml:space="preserve"> τίτλ</w:t>
      </w:r>
      <w:r w:rsidR="00B55F0A">
        <w:rPr>
          <w:rFonts w:cs="Arial"/>
          <w:sz w:val="20"/>
          <w:szCs w:val="20"/>
        </w:rPr>
        <w:t>ων</w:t>
      </w:r>
      <w:r>
        <w:rPr>
          <w:rFonts w:cs="Arial"/>
          <w:sz w:val="20"/>
          <w:szCs w:val="20"/>
        </w:rPr>
        <w:t xml:space="preserve"> </w:t>
      </w:r>
      <w:bookmarkStart w:id="0" w:name="_GoBack"/>
      <w:bookmarkEnd w:id="0"/>
      <w:r>
        <w:rPr>
          <w:rFonts w:cs="Arial"/>
          <w:sz w:val="20"/>
          <w:szCs w:val="20"/>
        </w:rPr>
        <w:t>Α</w:t>
      </w:r>
      <w:r>
        <w:rPr>
          <w:rFonts w:cs="Arial"/>
          <w:sz w:val="20"/>
          <w:szCs w:val="20"/>
          <w:lang w:val="en-US"/>
        </w:rPr>
        <w:t>T</w:t>
      </w:r>
      <w:r w:rsidRPr="0049507A">
        <w:rPr>
          <w:rFonts w:cs="Arial"/>
          <w:sz w:val="20"/>
          <w:szCs w:val="20"/>
        </w:rPr>
        <w:t xml:space="preserve">1 </w:t>
      </w:r>
      <w:r>
        <w:rPr>
          <w:rFonts w:cs="Arial"/>
          <w:sz w:val="20"/>
          <w:szCs w:val="20"/>
        </w:rPr>
        <w:t xml:space="preserve">μέχρι ποσού περίπου </w:t>
      </w:r>
      <w:r w:rsidRPr="001F241B">
        <w:rPr>
          <w:rFonts w:cs="Arial"/>
          <w:sz w:val="20"/>
          <w:szCs w:val="20"/>
        </w:rPr>
        <w:t>€</w:t>
      </w:r>
      <w:r>
        <w:rPr>
          <w:rFonts w:cs="Arial"/>
          <w:sz w:val="20"/>
          <w:szCs w:val="20"/>
        </w:rPr>
        <w:t>0,</w:t>
      </w:r>
      <w:r w:rsidRPr="001F241B">
        <w:rPr>
          <w:rFonts w:cs="Arial"/>
          <w:sz w:val="20"/>
          <w:szCs w:val="20"/>
        </w:rPr>
        <w:t>6</w:t>
      </w:r>
      <w:r w:rsidR="009979CE">
        <w:rPr>
          <w:rFonts w:cs="Arial"/>
          <w:sz w:val="20"/>
          <w:szCs w:val="20"/>
        </w:rPr>
        <w:t xml:space="preserve"> δισ.</w:t>
      </w:r>
      <w:r>
        <w:rPr>
          <w:rFonts w:cs="Arial"/>
          <w:sz w:val="20"/>
          <w:szCs w:val="20"/>
        </w:rPr>
        <w:t>,</w:t>
      </w:r>
      <w:r w:rsidRPr="001F241B">
        <w:rPr>
          <w:rFonts w:cs="Arial"/>
          <w:sz w:val="20"/>
          <w:szCs w:val="20"/>
        </w:rPr>
        <w:t xml:space="preserve"> </w:t>
      </w:r>
    </w:p>
    <w:p w14:paraId="53687C47" w14:textId="5D827946" w:rsidR="00C1355C" w:rsidRPr="005F2602" w:rsidRDefault="00C1355C" w:rsidP="00C1355C">
      <w:pPr>
        <w:numPr>
          <w:ilvl w:val="0"/>
          <w:numId w:val="30"/>
        </w:numPr>
        <w:tabs>
          <w:tab w:val="left" w:pos="528"/>
        </w:tabs>
        <w:kinsoku w:val="0"/>
        <w:overflowPunct w:val="0"/>
        <w:autoSpaceDE w:val="0"/>
        <w:autoSpaceDN w:val="0"/>
        <w:adjustRightInd w:val="0"/>
        <w:spacing w:before="240" w:after="0" w:line="300" w:lineRule="exact"/>
        <w:ind w:left="-630" w:right="250" w:hanging="270"/>
        <w:jc w:val="both"/>
        <w:rPr>
          <w:rFonts w:cs="Arial"/>
          <w:sz w:val="20"/>
          <w:szCs w:val="20"/>
        </w:rPr>
      </w:pPr>
      <w:r>
        <w:rPr>
          <w:rFonts w:cs="Arial"/>
          <w:sz w:val="20"/>
          <w:szCs w:val="20"/>
        </w:rPr>
        <w:t>Ένα</w:t>
      </w:r>
      <w:r w:rsidRPr="005F2602">
        <w:rPr>
          <w:rFonts w:cs="Arial"/>
          <w:sz w:val="20"/>
          <w:szCs w:val="20"/>
        </w:rPr>
        <w:t xml:space="preserve"> </w:t>
      </w:r>
      <w:r>
        <w:rPr>
          <w:rFonts w:cs="Arial"/>
          <w:sz w:val="20"/>
          <w:szCs w:val="20"/>
        </w:rPr>
        <w:t>αναλυτικό</w:t>
      </w:r>
      <w:r w:rsidRPr="005F2602">
        <w:rPr>
          <w:rFonts w:cs="Arial"/>
          <w:sz w:val="20"/>
          <w:szCs w:val="20"/>
        </w:rPr>
        <w:t xml:space="preserve"> </w:t>
      </w:r>
      <w:r>
        <w:rPr>
          <w:rFonts w:cs="Arial"/>
          <w:sz w:val="20"/>
          <w:szCs w:val="20"/>
        </w:rPr>
        <w:t>πρόγραμμα</w:t>
      </w:r>
      <w:r w:rsidRPr="005F2602">
        <w:rPr>
          <w:rFonts w:cs="Arial"/>
          <w:sz w:val="20"/>
          <w:szCs w:val="20"/>
        </w:rPr>
        <w:t xml:space="preserve"> </w:t>
      </w:r>
      <w:r>
        <w:rPr>
          <w:rFonts w:cs="Arial"/>
          <w:sz w:val="20"/>
          <w:szCs w:val="20"/>
        </w:rPr>
        <w:t>μετασχηματισμού</w:t>
      </w:r>
      <w:r w:rsidRPr="005F2602">
        <w:rPr>
          <w:rFonts w:cs="Arial"/>
          <w:sz w:val="20"/>
          <w:szCs w:val="20"/>
        </w:rPr>
        <w:t xml:space="preserve"> </w:t>
      </w:r>
      <w:r>
        <w:rPr>
          <w:rFonts w:cs="Arial"/>
          <w:sz w:val="20"/>
          <w:szCs w:val="20"/>
        </w:rPr>
        <w:t>της</w:t>
      </w:r>
      <w:r w:rsidRPr="005F2602">
        <w:rPr>
          <w:rFonts w:cs="Arial"/>
          <w:sz w:val="20"/>
          <w:szCs w:val="20"/>
        </w:rPr>
        <w:t xml:space="preserve"> </w:t>
      </w:r>
      <w:r>
        <w:rPr>
          <w:rFonts w:cs="Arial"/>
          <w:sz w:val="20"/>
          <w:szCs w:val="20"/>
        </w:rPr>
        <w:t>Τράπεζας</w:t>
      </w:r>
      <w:r w:rsidRPr="005F2602">
        <w:rPr>
          <w:rFonts w:cs="Arial"/>
          <w:sz w:val="20"/>
          <w:szCs w:val="20"/>
        </w:rPr>
        <w:t xml:space="preserve"> </w:t>
      </w:r>
      <w:r>
        <w:rPr>
          <w:rFonts w:cs="Arial"/>
          <w:sz w:val="20"/>
          <w:szCs w:val="20"/>
        </w:rPr>
        <w:t>Πειραιώς</w:t>
      </w:r>
      <w:r w:rsidRPr="005F2602">
        <w:rPr>
          <w:rFonts w:cs="Arial"/>
          <w:sz w:val="20"/>
          <w:szCs w:val="20"/>
        </w:rPr>
        <w:t xml:space="preserve"> </w:t>
      </w:r>
      <w:r>
        <w:rPr>
          <w:rFonts w:cs="Arial"/>
          <w:sz w:val="20"/>
          <w:szCs w:val="20"/>
        </w:rPr>
        <w:t>με</w:t>
      </w:r>
      <w:r w:rsidRPr="005F2602">
        <w:rPr>
          <w:rFonts w:cs="Arial"/>
          <w:sz w:val="20"/>
          <w:szCs w:val="20"/>
        </w:rPr>
        <w:t xml:space="preserve"> </w:t>
      </w:r>
      <w:r>
        <w:rPr>
          <w:rFonts w:cs="Arial"/>
          <w:sz w:val="20"/>
          <w:szCs w:val="20"/>
        </w:rPr>
        <w:t>στόχο</w:t>
      </w:r>
      <w:r w:rsidRPr="005F2602">
        <w:rPr>
          <w:rFonts w:cs="Arial"/>
          <w:sz w:val="20"/>
          <w:szCs w:val="20"/>
        </w:rPr>
        <w:t xml:space="preserve"> </w:t>
      </w:r>
      <w:r>
        <w:rPr>
          <w:rFonts w:cs="Arial"/>
          <w:sz w:val="20"/>
          <w:szCs w:val="20"/>
        </w:rPr>
        <w:t>την</w:t>
      </w:r>
      <w:r w:rsidRPr="005F2602">
        <w:rPr>
          <w:rFonts w:cs="Arial"/>
          <w:sz w:val="20"/>
          <w:szCs w:val="20"/>
        </w:rPr>
        <w:t xml:space="preserve"> </w:t>
      </w:r>
      <w:r>
        <w:rPr>
          <w:rFonts w:cs="Arial"/>
          <w:sz w:val="20"/>
          <w:szCs w:val="20"/>
        </w:rPr>
        <w:t>ενίσχυση</w:t>
      </w:r>
      <w:r w:rsidRPr="005F2602">
        <w:rPr>
          <w:rFonts w:cs="Arial"/>
          <w:sz w:val="20"/>
          <w:szCs w:val="20"/>
        </w:rPr>
        <w:t xml:space="preserve"> </w:t>
      </w:r>
      <w:r>
        <w:rPr>
          <w:rFonts w:cs="Arial"/>
          <w:sz w:val="20"/>
          <w:szCs w:val="20"/>
        </w:rPr>
        <w:t>των</w:t>
      </w:r>
      <w:r w:rsidRPr="005F2602">
        <w:rPr>
          <w:rFonts w:cs="Arial"/>
          <w:sz w:val="20"/>
          <w:szCs w:val="20"/>
        </w:rPr>
        <w:t xml:space="preserve"> </w:t>
      </w:r>
      <w:r>
        <w:rPr>
          <w:rFonts w:cs="Arial"/>
          <w:sz w:val="20"/>
          <w:szCs w:val="20"/>
        </w:rPr>
        <w:t>κερδών προ</w:t>
      </w:r>
      <w:r w:rsidRPr="005F2602">
        <w:rPr>
          <w:rFonts w:cs="Arial"/>
          <w:sz w:val="20"/>
          <w:szCs w:val="20"/>
        </w:rPr>
        <w:t xml:space="preserve"> </w:t>
      </w:r>
      <w:r>
        <w:rPr>
          <w:rFonts w:cs="Arial"/>
          <w:sz w:val="20"/>
          <w:szCs w:val="20"/>
        </w:rPr>
        <w:t>προβλέψεων</w:t>
      </w:r>
      <w:r w:rsidRPr="005F2602">
        <w:rPr>
          <w:rFonts w:cs="Arial"/>
          <w:sz w:val="20"/>
          <w:szCs w:val="20"/>
        </w:rPr>
        <w:t xml:space="preserve"> </w:t>
      </w:r>
      <w:r>
        <w:rPr>
          <w:rFonts w:cs="Arial"/>
          <w:sz w:val="20"/>
          <w:szCs w:val="20"/>
        </w:rPr>
        <w:t>μέσω</w:t>
      </w:r>
      <w:r w:rsidRPr="005F2602">
        <w:rPr>
          <w:rFonts w:cs="Arial"/>
          <w:sz w:val="20"/>
          <w:szCs w:val="20"/>
        </w:rPr>
        <w:t xml:space="preserve"> </w:t>
      </w:r>
      <w:r>
        <w:rPr>
          <w:rFonts w:cs="Arial"/>
          <w:sz w:val="20"/>
          <w:szCs w:val="20"/>
        </w:rPr>
        <w:t>συντονισμένων ενεργειών</w:t>
      </w:r>
      <w:r w:rsidRPr="005F2602">
        <w:rPr>
          <w:rFonts w:cs="Arial"/>
          <w:sz w:val="20"/>
          <w:szCs w:val="20"/>
        </w:rPr>
        <w:t xml:space="preserve"> </w:t>
      </w:r>
      <w:r>
        <w:rPr>
          <w:rFonts w:cs="Arial"/>
          <w:sz w:val="20"/>
          <w:szCs w:val="20"/>
        </w:rPr>
        <w:t>ενδυνάμωσης των εσόδων και μείωσης του λειτουργικού κόστους</w:t>
      </w:r>
      <w:r w:rsidR="00163434" w:rsidRPr="00163434">
        <w:rPr>
          <w:rFonts w:cs="Arial"/>
          <w:sz w:val="20"/>
          <w:szCs w:val="20"/>
        </w:rPr>
        <w:t>,</w:t>
      </w:r>
      <w:r>
        <w:rPr>
          <w:rFonts w:cs="Arial"/>
          <w:sz w:val="20"/>
          <w:szCs w:val="20"/>
        </w:rPr>
        <w:t xml:space="preserve"> με βελτίωση της λειτουργικής αποτελεσματικότητας και ενίσχυση της ψηφιακής πλατφόρμας της Τράπεζας</w:t>
      </w:r>
      <w:r w:rsidRPr="005F2602">
        <w:rPr>
          <w:rFonts w:cs="Arial"/>
          <w:sz w:val="20"/>
          <w:szCs w:val="20"/>
        </w:rPr>
        <w:t>.</w:t>
      </w:r>
    </w:p>
    <w:p w14:paraId="6A74A50E" w14:textId="77777777" w:rsidR="00C1355C" w:rsidRPr="005F2602" w:rsidRDefault="00C1355C" w:rsidP="00C1355C">
      <w:pPr>
        <w:kinsoku w:val="0"/>
        <w:overflowPunct w:val="0"/>
        <w:autoSpaceDE w:val="0"/>
        <w:autoSpaceDN w:val="0"/>
        <w:adjustRightInd w:val="0"/>
        <w:spacing w:after="0" w:line="300" w:lineRule="exact"/>
        <w:ind w:left="-630" w:right="115"/>
        <w:jc w:val="both"/>
        <w:rPr>
          <w:rFonts w:cs="Arial"/>
          <w:sz w:val="20"/>
          <w:szCs w:val="20"/>
        </w:rPr>
      </w:pPr>
    </w:p>
    <w:p w14:paraId="17ECEE31" w14:textId="15059B14" w:rsidR="00C1355C" w:rsidRPr="005F2602" w:rsidRDefault="00C1355C" w:rsidP="00C1355C">
      <w:pPr>
        <w:kinsoku w:val="0"/>
        <w:overflowPunct w:val="0"/>
        <w:autoSpaceDE w:val="0"/>
        <w:autoSpaceDN w:val="0"/>
        <w:adjustRightInd w:val="0"/>
        <w:spacing w:after="0" w:line="300" w:lineRule="exact"/>
        <w:ind w:left="-630" w:right="250"/>
        <w:jc w:val="both"/>
        <w:rPr>
          <w:rFonts w:cs="Arial"/>
          <w:sz w:val="20"/>
          <w:szCs w:val="20"/>
        </w:rPr>
      </w:pPr>
      <w:r>
        <w:rPr>
          <w:rFonts w:cs="Arial"/>
          <w:sz w:val="20"/>
          <w:szCs w:val="20"/>
        </w:rPr>
        <w:t>Η</w:t>
      </w:r>
      <w:r w:rsidRPr="005F2602">
        <w:rPr>
          <w:rFonts w:cs="Arial"/>
          <w:sz w:val="20"/>
          <w:szCs w:val="20"/>
        </w:rPr>
        <w:t xml:space="preserve"> </w:t>
      </w:r>
      <w:r>
        <w:rPr>
          <w:rFonts w:cs="Arial"/>
          <w:sz w:val="20"/>
          <w:szCs w:val="20"/>
        </w:rPr>
        <w:t>υλοποίηση</w:t>
      </w:r>
      <w:r w:rsidRPr="005F2602">
        <w:rPr>
          <w:rFonts w:cs="Arial"/>
          <w:sz w:val="20"/>
          <w:szCs w:val="20"/>
        </w:rPr>
        <w:t xml:space="preserve"> </w:t>
      </w:r>
      <w:r>
        <w:rPr>
          <w:rFonts w:cs="Arial"/>
          <w:sz w:val="20"/>
          <w:szCs w:val="20"/>
        </w:rPr>
        <w:t>των</w:t>
      </w:r>
      <w:r w:rsidRPr="005F2602">
        <w:rPr>
          <w:rFonts w:cs="Arial"/>
          <w:sz w:val="20"/>
          <w:szCs w:val="20"/>
        </w:rPr>
        <w:t xml:space="preserve"> </w:t>
      </w:r>
      <w:r>
        <w:rPr>
          <w:rFonts w:cs="Arial"/>
          <w:sz w:val="20"/>
          <w:szCs w:val="20"/>
        </w:rPr>
        <w:t>ανωτέρω</w:t>
      </w:r>
      <w:r w:rsidRPr="005F2602">
        <w:rPr>
          <w:rFonts w:cs="Arial"/>
          <w:sz w:val="20"/>
          <w:szCs w:val="20"/>
        </w:rPr>
        <w:t xml:space="preserve"> </w:t>
      </w:r>
      <w:r>
        <w:rPr>
          <w:rFonts w:cs="Arial"/>
          <w:sz w:val="20"/>
          <w:szCs w:val="20"/>
        </w:rPr>
        <w:t>στρατηγικών</w:t>
      </w:r>
      <w:r w:rsidRPr="005F2602">
        <w:rPr>
          <w:rFonts w:cs="Arial"/>
          <w:sz w:val="20"/>
          <w:szCs w:val="20"/>
        </w:rPr>
        <w:t xml:space="preserve"> </w:t>
      </w:r>
      <w:r>
        <w:rPr>
          <w:rFonts w:cs="Arial"/>
          <w:sz w:val="20"/>
          <w:szCs w:val="20"/>
        </w:rPr>
        <w:t>πυλώνων</w:t>
      </w:r>
      <w:r w:rsidRPr="005F2602">
        <w:rPr>
          <w:rFonts w:cs="Arial"/>
          <w:sz w:val="20"/>
          <w:szCs w:val="20"/>
        </w:rPr>
        <w:t xml:space="preserve"> </w:t>
      </w:r>
      <w:r>
        <w:rPr>
          <w:rFonts w:cs="Arial"/>
          <w:sz w:val="20"/>
          <w:szCs w:val="20"/>
        </w:rPr>
        <w:t>αναμένεται</w:t>
      </w:r>
      <w:r w:rsidRPr="005F2602">
        <w:rPr>
          <w:rFonts w:cs="Arial"/>
          <w:sz w:val="20"/>
          <w:szCs w:val="20"/>
        </w:rPr>
        <w:t xml:space="preserve"> </w:t>
      </w:r>
      <w:r>
        <w:rPr>
          <w:rFonts w:cs="Arial"/>
          <w:sz w:val="20"/>
          <w:szCs w:val="20"/>
        </w:rPr>
        <w:t>να</w:t>
      </w:r>
      <w:r w:rsidRPr="005F2602">
        <w:rPr>
          <w:rFonts w:cs="Arial"/>
          <w:sz w:val="20"/>
          <w:szCs w:val="20"/>
        </w:rPr>
        <w:t xml:space="preserve"> </w:t>
      </w:r>
      <w:r>
        <w:rPr>
          <w:rFonts w:cs="Arial"/>
          <w:sz w:val="20"/>
          <w:szCs w:val="20"/>
        </w:rPr>
        <w:t>επιτρέψει στον</w:t>
      </w:r>
      <w:r w:rsidRPr="005F2602">
        <w:rPr>
          <w:rFonts w:cs="Arial"/>
          <w:sz w:val="20"/>
          <w:szCs w:val="20"/>
        </w:rPr>
        <w:t xml:space="preserve"> </w:t>
      </w:r>
      <w:r w:rsidR="00163434">
        <w:rPr>
          <w:rFonts w:cs="Arial"/>
          <w:sz w:val="20"/>
          <w:szCs w:val="20"/>
        </w:rPr>
        <w:t>Ό</w:t>
      </w:r>
      <w:r>
        <w:rPr>
          <w:rFonts w:cs="Arial"/>
          <w:sz w:val="20"/>
          <w:szCs w:val="20"/>
        </w:rPr>
        <w:t>μιλο</w:t>
      </w:r>
      <w:r w:rsidRPr="005F2602">
        <w:rPr>
          <w:rFonts w:cs="Arial"/>
          <w:sz w:val="20"/>
          <w:szCs w:val="20"/>
        </w:rPr>
        <w:t xml:space="preserve"> </w:t>
      </w:r>
      <w:r>
        <w:rPr>
          <w:rFonts w:cs="Arial"/>
          <w:sz w:val="20"/>
          <w:szCs w:val="20"/>
        </w:rPr>
        <w:t>Πειραιώς την επίτευξη των μεσοπρόθεσμων στόχων του</w:t>
      </w:r>
      <w:r w:rsidRPr="005F2602">
        <w:rPr>
          <w:rFonts w:cs="Arial"/>
          <w:sz w:val="20"/>
          <w:szCs w:val="20"/>
        </w:rPr>
        <w:t>:</w:t>
      </w:r>
    </w:p>
    <w:p w14:paraId="777A9B0C" w14:textId="4B5650BF" w:rsidR="00C1355C" w:rsidRPr="002E62D6" w:rsidRDefault="00C1355C" w:rsidP="00C1355C">
      <w:pPr>
        <w:numPr>
          <w:ilvl w:val="0"/>
          <w:numId w:val="31"/>
        </w:numPr>
        <w:tabs>
          <w:tab w:val="left" w:pos="528"/>
        </w:tabs>
        <w:kinsoku w:val="0"/>
        <w:overflowPunct w:val="0"/>
        <w:autoSpaceDE w:val="0"/>
        <w:autoSpaceDN w:val="0"/>
        <w:adjustRightInd w:val="0"/>
        <w:spacing w:before="120" w:after="0" w:line="300" w:lineRule="exact"/>
        <w:ind w:left="-360" w:right="245" w:hanging="274"/>
        <w:jc w:val="both"/>
        <w:rPr>
          <w:rFonts w:cs="Arial"/>
          <w:sz w:val="20"/>
          <w:szCs w:val="20"/>
        </w:rPr>
      </w:pPr>
      <w:r>
        <w:rPr>
          <w:rFonts w:cs="Arial"/>
          <w:sz w:val="20"/>
          <w:szCs w:val="20"/>
        </w:rPr>
        <w:t xml:space="preserve">Μονοψήφιο δείκτη </w:t>
      </w:r>
      <w:r w:rsidR="00163434">
        <w:rPr>
          <w:rFonts w:cs="Arial"/>
          <w:sz w:val="20"/>
          <w:szCs w:val="20"/>
          <w:lang w:val="en-US"/>
        </w:rPr>
        <w:t>NPE</w:t>
      </w:r>
      <w:r>
        <w:rPr>
          <w:rFonts w:cs="Arial"/>
          <w:sz w:val="20"/>
          <w:szCs w:val="20"/>
        </w:rPr>
        <w:t xml:space="preserve"> στους επόμενους 12 μήνες και χαμηλότερα από 3% μεσοπρόθεσμα, με διαρκή διαχείρ</w:t>
      </w:r>
      <w:r w:rsidR="00163434">
        <w:rPr>
          <w:rFonts w:cs="Arial"/>
          <w:sz w:val="20"/>
          <w:szCs w:val="20"/>
        </w:rPr>
        <w:t>ι</w:t>
      </w:r>
      <w:r>
        <w:rPr>
          <w:rFonts w:cs="Arial"/>
          <w:sz w:val="20"/>
          <w:szCs w:val="20"/>
        </w:rPr>
        <w:t xml:space="preserve">ση των </w:t>
      </w:r>
      <w:r w:rsidR="00182520">
        <w:rPr>
          <w:rFonts w:cs="Arial"/>
          <w:sz w:val="20"/>
          <w:szCs w:val="20"/>
          <w:lang w:val="en-US"/>
        </w:rPr>
        <w:t>NPEs</w:t>
      </w:r>
      <w:r>
        <w:rPr>
          <w:rFonts w:cs="Arial"/>
          <w:sz w:val="20"/>
          <w:szCs w:val="20"/>
        </w:rPr>
        <w:t xml:space="preserve"> μέσω οργανικών και μη οργανικών ενεργειών, ενσωματώνοντας τυχόν εισροές σχετιζόμενες με </w:t>
      </w:r>
      <w:r w:rsidR="00163434">
        <w:rPr>
          <w:rFonts w:cs="Arial"/>
          <w:sz w:val="20"/>
          <w:szCs w:val="20"/>
        </w:rPr>
        <w:t xml:space="preserve">το </w:t>
      </w:r>
      <w:r>
        <w:rPr>
          <w:rFonts w:cs="Arial"/>
          <w:sz w:val="20"/>
          <w:szCs w:val="20"/>
          <w:lang w:val="en-US"/>
        </w:rPr>
        <w:t>COVID</w:t>
      </w:r>
      <w:r w:rsidRPr="002E62D6">
        <w:rPr>
          <w:rFonts w:cs="Arial"/>
          <w:sz w:val="20"/>
          <w:szCs w:val="20"/>
        </w:rPr>
        <w:t xml:space="preserve">-19. </w:t>
      </w:r>
      <w:r>
        <w:rPr>
          <w:rFonts w:cs="Arial"/>
          <w:sz w:val="20"/>
          <w:szCs w:val="20"/>
        </w:rPr>
        <w:t xml:space="preserve">Τα </w:t>
      </w:r>
      <w:r w:rsidR="00182520">
        <w:rPr>
          <w:rFonts w:cs="Arial"/>
          <w:sz w:val="20"/>
          <w:szCs w:val="20"/>
          <w:lang w:val="en-US"/>
        </w:rPr>
        <w:t>NPEs</w:t>
      </w:r>
      <w:r>
        <w:rPr>
          <w:rFonts w:cs="Arial"/>
          <w:sz w:val="20"/>
          <w:szCs w:val="20"/>
        </w:rPr>
        <w:t xml:space="preserve"> της Τράπεζας </w:t>
      </w:r>
      <w:r w:rsidR="00163434">
        <w:rPr>
          <w:rFonts w:cs="Arial"/>
          <w:sz w:val="20"/>
          <w:szCs w:val="20"/>
        </w:rPr>
        <w:t>αναμέν</w:t>
      </w:r>
      <w:r w:rsidR="00F1499E">
        <w:rPr>
          <w:rFonts w:cs="Arial"/>
          <w:sz w:val="20"/>
          <w:szCs w:val="20"/>
        </w:rPr>
        <w:t>εται</w:t>
      </w:r>
      <w:r>
        <w:rPr>
          <w:rFonts w:cs="Arial"/>
          <w:sz w:val="20"/>
          <w:szCs w:val="20"/>
        </w:rPr>
        <w:t xml:space="preserve"> να μειωθούν από €22,5 </w:t>
      </w:r>
      <w:r w:rsidR="009979CE">
        <w:rPr>
          <w:rFonts w:cs="Arial"/>
          <w:sz w:val="20"/>
          <w:szCs w:val="20"/>
        </w:rPr>
        <w:t>δισ.</w:t>
      </w:r>
      <w:r>
        <w:rPr>
          <w:rFonts w:cs="Arial"/>
          <w:sz w:val="20"/>
          <w:szCs w:val="20"/>
        </w:rPr>
        <w:t xml:space="preserve"> στο τέλος του 2020, σε περίπου €3,6 </w:t>
      </w:r>
      <w:r w:rsidR="009979CE">
        <w:rPr>
          <w:rFonts w:cs="Arial"/>
          <w:sz w:val="20"/>
          <w:szCs w:val="20"/>
        </w:rPr>
        <w:t>δισ.</w:t>
      </w:r>
      <w:r>
        <w:rPr>
          <w:rFonts w:cs="Arial"/>
          <w:sz w:val="20"/>
          <w:szCs w:val="20"/>
        </w:rPr>
        <w:t xml:space="preserve"> στους επόμενους 12 μήνες και σε περίπου €1 </w:t>
      </w:r>
      <w:r w:rsidR="009979CE">
        <w:rPr>
          <w:rFonts w:cs="Arial"/>
          <w:sz w:val="20"/>
          <w:szCs w:val="20"/>
        </w:rPr>
        <w:t>δισ.</w:t>
      </w:r>
      <w:r>
        <w:rPr>
          <w:rFonts w:cs="Arial"/>
          <w:sz w:val="20"/>
          <w:szCs w:val="20"/>
        </w:rPr>
        <w:t xml:space="preserve"> σε μεσοπρόθεσμο ορίζοντα,</w:t>
      </w:r>
    </w:p>
    <w:p w14:paraId="359B25FA" w14:textId="0A5D9B9B" w:rsidR="00C1355C" w:rsidRPr="002E62D6" w:rsidRDefault="00C1355C" w:rsidP="00C1355C">
      <w:pPr>
        <w:numPr>
          <w:ilvl w:val="0"/>
          <w:numId w:val="31"/>
        </w:numPr>
        <w:kinsoku w:val="0"/>
        <w:overflowPunct w:val="0"/>
        <w:autoSpaceDE w:val="0"/>
        <w:autoSpaceDN w:val="0"/>
        <w:adjustRightInd w:val="0"/>
        <w:spacing w:before="120" w:after="0" w:line="300" w:lineRule="exact"/>
        <w:ind w:left="-360" w:right="245" w:hanging="274"/>
        <w:jc w:val="both"/>
        <w:rPr>
          <w:rFonts w:eastAsia="Times New Roman" w:cs="Calibri"/>
          <w:b/>
          <w:color w:val="3A73AE" w:themeColor="accent1"/>
          <w:sz w:val="28"/>
          <w:szCs w:val="28"/>
        </w:rPr>
      </w:pPr>
      <w:r>
        <w:rPr>
          <w:rFonts w:cs="Arial"/>
          <w:sz w:val="20"/>
          <w:szCs w:val="20"/>
        </w:rPr>
        <w:t>Συνολικό</w:t>
      </w:r>
      <w:r w:rsidRPr="002E62D6">
        <w:rPr>
          <w:rFonts w:cs="Arial"/>
          <w:sz w:val="20"/>
          <w:szCs w:val="20"/>
        </w:rPr>
        <w:t xml:space="preserve"> </w:t>
      </w:r>
      <w:r>
        <w:rPr>
          <w:rFonts w:cs="Arial"/>
          <w:sz w:val="20"/>
          <w:szCs w:val="20"/>
        </w:rPr>
        <w:t>δείκτη</w:t>
      </w:r>
      <w:r w:rsidRPr="002E62D6">
        <w:rPr>
          <w:rFonts w:cs="Arial"/>
          <w:sz w:val="20"/>
          <w:szCs w:val="20"/>
        </w:rPr>
        <w:t xml:space="preserve"> </w:t>
      </w:r>
      <w:r>
        <w:rPr>
          <w:rFonts w:cs="Arial"/>
          <w:sz w:val="20"/>
          <w:szCs w:val="20"/>
        </w:rPr>
        <w:t>κεφαλαιακής</w:t>
      </w:r>
      <w:r w:rsidRPr="002E62D6">
        <w:rPr>
          <w:rFonts w:cs="Arial"/>
          <w:sz w:val="20"/>
          <w:szCs w:val="20"/>
        </w:rPr>
        <w:t xml:space="preserve"> </w:t>
      </w:r>
      <w:r>
        <w:rPr>
          <w:rFonts w:cs="Arial"/>
          <w:sz w:val="20"/>
          <w:szCs w:val="20"/>
        </w:rPr>
        <w:t>επάρκειας</w:t>
      </w:r>
      <w:r w:rsidRPr="002E62D6">
        <w:rPr>
          <w:rFonts w:cs="Arial"/>
          <w:sz w:val="20"/>
          <w:szCs w:val="20"/>
        </w:rPr>
        <w:t xml:space="preserve"> </w:t>
      </w:r>
      <w:r>
        <w:rPr>
          <w:rFonts w:cs="Arial"/>
          <w:sz w:val="20"/>
          <w:szCs w:val="20"/>
        </w:rPr>
        <w:t>υψηλότερο</w:t>
      </w:r>
      <w:r w:rsidRPr="002E62D6">
        <w:rPr>
          <w:rFonts w:cs="Arial"/>
          <w:sz w:val="20"/>
          <w:szCs w:val="20"/>
        </w:rPr>
        <w:t xml:space="preserve"> </w:t>
      </w:r>
      <w:r>
        <w:rPr>
          <w:rFonts w:cs="Arial"/>
          <w:sz w:val="20"/>
          <w:szCs w:val="20"/>
        </w:rPr>
        <w:t>από</w:t>
      </w:r>
      <w:r w:rsidRPr="002E62D6">
        <w:rPr>
          <w:rFonts w:cs="Arial"/>
          <w:sz w:val="20"/>
          <w:szCs w:val="20"/>
        </w:rPr>
        <w:t xml:space="preserve"> 16%, </w:t>
      </w:r>
      <w:r>
        <w:rPr>
          <w:rFonts w:cs="Arial"/>
          <w:sz w:val="20"/>
          <w:szCs w:val="20"/>
        </w:rPr>
        <w:t>ακολούθως</w:t>
      </w:r>
      <w:r w:rsidRPr="002E62D6">
        <w:rPr>
          <w:rFonts w:cs="Arial"/>
          <w:sz w:val="20"/>
          <w:szCs w:val="20"/>
        </w:rPr>
        <w:t xml:space="preserve"> </w:t>
      </w:r>
      <w:r>
        <w:rPr>
          <w:rFonts w:cs="Arial"/>
          <w:sz w:val="20"/>
          <w:szCs w:val="20"/>
        </w:rPr>
        <w:t>της</w:t>
      </w:r>
      <w:r w:rsidRPr="002E62D6">
        <w:rPr>
          <w:rFonts w:cs="Arial"/>
          <w:sz w:val="20"/>
          <w:szCs w:val="20"/>
        </w:rPr>
        <w:t xml:space="preserve"> </w:t>
      </w:r>
      <w:r>
        <w:rPr>
          <w:rFonts w:cs="Arial"/>
          <w:sz w:val="20"/>
          <w:szCs w:val="20"/>
        </w:rPr>
        <w:t>βελτιωμένης οργανικής παραγωγής κεφαλαίου και τη</w:t>
      </w:r>
      <w:r w:rsidR="00F1499E">
        <w:rPr>
          <w:rFonts w:cs="Arial"/>
          <w:sz w:val="20"/>
          <w:szCs w:val="20"/>
        </w:rPr>
        <w:t>ς</w:t>
      </w:r>
      <w:r>
        <w:rPr>
          <w:rFonts w:cs="Arial"/>
          <w:sz w:val="20"/>
          <w:szCs w:val="20"/>
        </w:rPr>
        <w:t xml:space="preserve"> έκδοση</w:t>
      </w:r>
      <w:r w:rsidR="00F1499E">
        <w:rPr>
          <w:rFonts w:cs="Arial"/>
          <w:sz w:val="20"/>
          <w:szCs w:val="20"/>
        </w:rPr>
        <w:t>ς</w:t>
      </w:r>
      <w:r>
        <w:rPr>
          <w:rFonts w:cs="Arial"/>
          <w:sz w:val="20"/>
          <w:szCs w:val="20"/>
        </w:rPr>
        <w:t xml:space="preserve"> χρεογράφων σε πλήρη συμμόρφωση με τους στόχους </w:t>
      </w:r>
      <w:r>
        <w:rPr>
          <w:rFonts w:cs="Arial"/>
          <w:sz w:val="20"/>
          <w:szCs w:val="20"/>
          <w:lang w:val="en-US"/>
        </w:rPr>
        <w:t>MREL</w:t>
      </w:r>
      <w:r w:rsidRPr="002E62D6">
        <w:rPr>
          <w:rFonts w:cs="Arial"/>
          <w:sz w:val="20"/>
          <w:szCs w:val="20"/>
        </w:rPr>
        <w:t xml:space="preserve"> </w:t>
      </w:r>
      <w:r>
        <w:rPr>
          <w:rFonts w:cs="Arial"/>
          <w:sz w:val="20"/>
          <w:szCs w:val="20"/>
        </w:rPr>
        <w:t>της Τράπεζας,</w:t>
      </w:r>
    </w:p>
    <w:p w14:paraId="1C0CC329" w14:textId="2B1DEBFA" w:rsidR="000B7954" w:rsidRPr="00C1355C" w:rsidRDefault="00C1355C" w:rsidP="00C1355C">
      <w:pPr>
        <w:pStyle w:val="ListParagraph"/>
        <w:numPr>
          <w:ilvl w:val="0"/>
          <w:numId w:val="15"/>
        </w:numPr>
        <w:spacing w:before="120" w:line="300" w:lineRule="exact"/>
        <w:ind w:left="-360"/>
        <w:rPr>
          <w:rFonts w:cs="Calibri"/>
          <w:sz w:val="20"/>
          <w:szCs w:val="17"/>
          <w:lang w:val="el-GR"/>
        </w:rPr>
      </w:pPr>
      <w:r w:rsidRPr="00C1355C">
        <w:rPr>
          <w:rFonts w:cs="Arial"/>
          <w:sz w:val="20"/>
          <w:szCs w:val="20"/>
          <w:lang w:val="el-GR"/>
        </w:rPr>
        <w:t xml:space="preserve">Δείκτη απόδοσης </w:t>
      </w:r>
      <w:r w:rsidR="00EC3ABA">
        <w:rPr>
          <w:rFonts w:cs="Arial"/>
          <w:sz w:val="20"/>
          <w:szCs w:val="20"/>
          <w:lang w:val="el-GR"/>
        </w:rPr>
        <w:t xml:space="preserve">ενσώματων </w:t>
      </w:r>
      <w:r w:rsidRPr="00C1355C">
        <w:rPr>
          <w:rFonts w:cs="Arial"/>
          <w:sz w:val="20"/>
          <w:szCs w:val="20"/>
          <w:lang w:val="el-GR"/>
        </w:rPr>
        <w:t xml:space="preserve">ιδίων κεφαλαίων υψηλότερο από 10%, </w:t>
      </w:r>
      <w:r w:rsidR="00F1499E">
        <w:rPr>
          <w:rFonts w:cs="Arial"/>
          <w:sz w:val="20"/>
          <w:szCs w:val="20"/>
          <w:lang w:val="el-GR"/>
        </w:rPr>
        <w:t xml:space="preserve">αναδεικνύοντας </w:t>
      </w:r>
      <w:r w:rsidRPr="00C1355C">
        <w:rPr>
          <w:rFonts w:cs="Arial"/>
          <w:sz w:val="20"/>
          <w:szCs w:val="20"/>
          <w:lang w:val="el-GR"/>
        </w:rPr>
        <w:t xml:space="preserve">τη δυναμική του επιχειρηματικού μοντέλου της Τράπεζας μετά τη μείωση των </w:t>
      </w:r>
      <w:r w:rsidR="00182520">
        <w:rPr>
          <w:rFonts w:cs="Arial"/>
          <w:sz w:val="20"/>
          <w:szCs w:val="20"/>
        </w:rPr>
        <w:t>NPEs</w:t>
      </w:r>
      <w:r w:rsidRPr="00C1355C">
        <w:rPr>
          <w:rFonts w:cs="Arial"/>
          <w:sz w:val="20"/>
          <w:szCs w:val="20"/>
          <w:lang w:val="el-GR"/>
        </w:rPr>
        <w:t>.</w:t>
      </w:r>
    </w:p>
    <w:p w14:paraId="30A7BF7B" w14:textId="77777777" w:rsidR="00B7077A" w:rsidRDefault="00B7077A" w:rsidP="00B7077A">
      <w:pPr>
        <w:pStyle w:val="11"/>
        <w:suppressAutoHyphens w:val="0"/>
        <w:spacing w:line="300" w:lineRule="exact"/>
        <w:ind w:left="576"/>
        <w:textAlignment w:val="auto"/>
        <w:rPr>
          <w:rFonts w:cs="Calibri"/>
          <w:sz w:val="20"/>
          <w:szCs w:val="17"/>
          <w:lang w:val="el-GR"/>
        </w:rPr>
      </w:pPr>
    </w:p>
    <w:p w14:paraId="2E69A561" w14:textId="77777777" w:rsidR="00F41FD4" w:rsidRDefault="00F41FD4" w:rsidP="00700D23">
      <w:pPr>
        <w:pStyle w:val="11"/>
        <w:suppressAutoHyphens w:val="0"/>
        <w:spacing w:line="300" w:lineRule="exact"/>
        <w:ind w:left="-2970" w:right="-97"/>
        <w:jc w:val="right"/>
        <w:textAlignment w:val="auto"/>
        <w:rPr>
          <w:rFonts w:cs="Calibri"/>
          <w:b/>
          <w:color w:val="6691AB"/>
          <w:sz w:val="28"/>
          <w:szCs w:val="28"/>
          <w:lang w:val="el-GR"/>
        </w:rPr>
      </w:pPr>
    </w:p>
    <w:p w14:paraId="25FA4FF5" w14:textId="77777777" w:rsidR="00F41FD4" w:rsidRDefault="00F41FD4" w:rsidP="00F41FD4">
      <w:pPr>
        <w:pStyle w:val="11"/>
        <w:suppressAutoHyphens w:val="0"/>
        <w:spacing w:after="200" w:line="300" w:lineRule="exact"/>
        <w:ind w:left="-2966" w:right="-101"/>
        <w:jc w:val="right"/>
        <w:textAlignment w:val="auto"/>
        <w:rPr>
          <w:rFonts w:cs="Calibri"/>
          <w:b/>
          <w:color w:val="6691AB"/>
          <w:sz w:val="28"/>
          <w:szCs w:val="28"/>
          <w:lang w:val="el-GR"/>
        </w:rPr>
      </w:pPr>
    </w:p>
    <w:p w14:paraId="0EDA3C0E" w14:textId="77777777" w:rsidR="00F41FD4" w:rsidRDefault="00F41FD4" w:rsidP="00700D23">
      <w:pPr>
        <w:pStyle w:val="11"/>
        <w:suppressAutoHyphens w:val="0"/>
        <w:spacing w:line="300" w:lineRule="exact"/>
        <w:ind w:left="-2970" w:right="-97"/>
        <w:jc w:val="right"/>
        <w:textAlignment w:val="auto"/>
        <w:rPr>
          <w:rFonts w:cs="Calibri"/>
          <w:b/>
          <w:color w:val="6691AB"/>
          <w:sz w:val="28"/>
          <w:szCs w:val="28"/>
          <w:lang w:val="el-GR"/>
        </w:rPr>
      </w:pPr>
    </w:p>
    <w:p w14:paraId="653E9497" w14:textId="77777777" w:rsidR="00700D23" w:rsidRPr="00700D23" w:rsidRDefault="00C1355C" w:rsidP="00700D23">
      <w:pPr>
        <w:pStyle w:val="11"/>
        <w:suppressAutoHyphens w:val="0"/>
        <w:spacing w:line="300" w:lineRule="exact"/>
        <w:ind w:left="-2970" w:right="-97"/>
        <w:jc w:val="right"/>
        <w:textAlignment w:val="auto"/>
        <w:rPr>
          <w:rFonts w:cs="Calibri"/>
          <w:sz w:val="20"/>
          <w:szCs w:val="17"/>
          <w:lang w:val="el-GR"/>
        </w:rPr>
      </w:pPr>
      <w:r w:rsidRPr="000A1E95">
        <w:rPr>
          <w:rFonts w:cs="Calibri"/>
          <w:b/>
          <w:color w:val="6691AB"/>
          <w:sz w:val="28"/>
          <w:szCs w:val="28"/>
          <w:lang w:val="el-GR"/>
        </w:rPr>
        <w:t>Δήλωση Διοίκησης</w:t>
      </w:r>
    </w:p>
    <w:p w14:paraId="2CD744D7" w14:textId="77777777" w:rsidR="00700D23" w:rsidRDefault="000A1E95" w:rsidP="007307C5">
      <w:pPr>
        <w:spacing w:before="120" w:after="120" w:line="264" w:lineRule="auto"/>
        <w:rPr>
          <w:rFonts w:eastAsia="Times New Roman" w:cs="Calibri"/>
          <w:b/>
          <w:color w:val="6691AB"/>
        </w:rPr>
      </w:pPr>
      <w:r>
        <w:rPr>
          <w:rFonts w:eastAsia="Times New Roman" w:cs="Calibri"/>
          <w:b/>
          <w:noProof/>
          <w:color w:val="FF0000"/>
          <w:sz w:val="28"/>
          <w:szCs w:val="28"/>
          <w:lang w:eastAsia="el-GR"/>
        </w:rPr>
        <mc:AlternateContent>
          <mc:Choice Requires="wps">
            <w:drawing>
              <wp:anchor distT="0" distB="0" distL="114300" distR="114300" simplePos="0" relativeHeight="251805696" behindDoc="1" locked="0" layoutInCell="1" allowOverlap="1" wp14:anchorId="3716E0A3" wp14:editId="735B86DE">
                <wp:simplePos x="0" y="0"/>
                <wp:positionH relativeFrom="page">
                  <wp:posOffset>15903</wp:posOffset>
                </wp:positionH>
                <wp:positionV relativeFrom="paragraph">
                  <wp:posOffset>434836</wp:posOffset>
                </wp:positionV>
                <wp:extent cx="7029450" cy="7331103"/>
                <wp:effectExtent l="0" t="0" r="0" b="3175"/>
                <wp:wrapNone/>
                <wp:docPr id="19"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9450" cy="7331103"/>
                        </a:xfrm>
                        <a:prstGeom prst="rect">
                          <a:avLst/>
                        </a:prstGeom>
                        <a:solidFill>
                          <a:srgbClr val="E6E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72DB4" w14:textId="77777777" w:rsidR="00337141" w:rsidRDefault="00337141" w:rsidP="003A4DAD">
                            <w:pPr>
                              <w:jc w:val="center"/>
                              <w:rPr>
                                <w:lang w:val="en-US"/>
                              </w:rPr>
                            </w:pPr>
                          </w:p>
                          <w:p w14:paraId="52412483" w14:textId="77777777" w:rsidR="00337141" w:rsidRDefault="00337141" w:rsidP="003A4DAD">
                            <w:pPr>
                              <w:spacing w:before="120"/>
                              <w:jc w:val="center"/>
                              <w:rPr>
                                <w:lang w:val="en-US"/>
                              </w:rPr>
                            </w:pPr>
                          </w:p>
                          <w:p w14:paraId="2822926E" w14:textId="77777777" w:rsidR="00337141" w:rsidRPr="00DC3F41" w:rsidRDefault="00337141" w:rsidP="003A4DAD">
                            <w:pPr>
                              <w:pStyle w:val="ListParagraph"/>
                              <w:spacing w:line="288" w:lineRule="auto"/>
                              <w:ind w:left="572"/>
                              <w:contextualSpacing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6E0A3" id="_x0000_s1028" style="position:absolute;margin-left:1.25pt;margin-top:34.25pt;width:553.5pt;height:577.25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" fillcolor="#e6e6e1" stroked="f">
                <o:lock v:ext="edit" aspectratio="t"/>
                <v:textbox>
                  <w:txbxContent>
                    <w:p w14:paraId="56172DB4" w14:textId="77777777" w:rsidR="00337141" w:rsidRDefault="00337141" w:rsidP="003A4DAD">
                      <w:pPr>
                        <w:jc w:val="center"/>
                        <w:rPr>
                          <w:lang w:val="en-US"/>
                        </w:rPr>
                      </w:pPr>
                    </w:p>
                    <w:p w14:paraId="52412483" w14:textId="77777777" w:rsidR="00337141" w:rsidRDefault="00337141" w:rsidP="003A4DAD">
                      <w:pPr>
                        <w:spacing w:before="120"/>
                        <w:jc w:val="center"/>
                        <w:rPr>
                          <w:lang w:val="en-US"/>
                        </w:rPr>
                      </w:pPr>
                    </w:p>
                    <w:p w14:paraId="2822926E" w14:textId="77777777" w:rsidR="00337141" w:rsidRPr="00DC3F41" w:rsidRDefault="00337141" w:rsidP="003A4DAD">
                      <w:pPr>
                        <w:pStyle w:val="ListParagraph"/>
                        <w:spacing w:line="288" w:lineRule="auto"/>
                        <w:ind w:left="572"/>
                        <w:contextualSpacing w:val="0"/>
                      </w:pPr>
                    </w:p>
                  </w:txbxContent>
                </v:textbox>
                <w10:wrap anchorx="page"/>
              </v:rect>
            </w:pict>
          </mc:Fallback>
        </mc:AlternateContent>
      </w:r>
      <w:r w:rsidR="00700D23" w:rsidRPr="007A419D">
        <w:rPr>
          <w:rFonts w:cs="Calibri"/>
          <w:noProof/>
          <w:sz w:val="28"/>
          <w:szCs w:val="28"/>
          <w:lang w:eastAsia="el-GR"/>
        </w:rPr>
        <mc:AlternateContent>
          <mc:Choice Requires="wps">
            <w:drawing>
              <wp:anchor distT="0" distB="0" distL="114300" distR="114300" simplePos="0" relativeHeight="251809792" behindDoc="0" locked="0" layoutInCell="1" allowOverlap="1" wp14:anchorId="45318D7B" wp14:editId="190D85DF">
                <wp:simplePos x="0" y="0"/>
                <wp:positionH relativeFrom="column">
                  <wp:posOffset>-2507615</wp:posOffset>
                </wp:positionH>
                <wp:positionV relativeFrom="paragraph">
                  <wp:posOffset>440662</wp:posOffset>
                </wp:positionV>
                <wp:extent cx="7178040" cy="0"/>
                <wp:effectExtent l="0" t="0" r="22860" b="19050"/>
                <wp:wrapNone/>
                <wp:docPr id="36" name="Straight Connector 100">
                  <a:extLst xmlns:a="http://schemas.openxmlformats.org/drawingml/2006/main">
                    <a:ext uri="{FF2B5EF4-FFF2-40B4-BE49-F238E27FC236}">
                      <a16:creationId xmlns:a16="http://schemas.microsoft.com/office/drawing/2014/main" id="{CE3EDDE5-9B23-44D7-8546-0B2365B42B16}"/>
                    </a:ext>
                  </a:extLst>
                </wp:docPr>
                <wp:cNvGraphicFramePr/>
                <a:graphic xmlns:a="http://schemas.openxmlformats.org/drawingml/2006/main">
                  <a:graphicData uri="http://schemas.microsoft.com/office/word/2010/wordprocessingShape">
                    <wps:wsp>
                      <wps:cNvCnPr/>
                      <wps:spPr>
                        <a:xfrm flipV="1">
                          <a:off x="0" y="0"/>
                          <a:ext cx="7178040" cy="0"/>
                        </a:xfrm>
                        <a:prstGeom prst="line">
                          <a:avLst/>
                        </a:prstGeom>
                        <a:ln>
                          <a:solidFill>
                            <a:srgbClr val="6691A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B9E5274" id="Straight Connector 100" o:spid="_x0000_s1026" style="position:absolute;flip:y;z-index:251809792;visibility:visible;mso-wrap-style:square;mso-wrap-distance-left:9pt;mso-wrap-distance-top:0;mso-wrap-distance-right:9pt;mso-wrap-distance-bottom:0;mso-position-horizontal:absolute;mso-position-horizontal-relative:text;mso-position-vertical:absolute;mso-position-vertical-relative:text" from="-197.45pt,34.7pt" to="367.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" strokecolor="#6691ab"/>
            </w:pict>
          </mc:Fallback>
        </mc:AlternateContent>
      </w:r>
    </w:p>
    <w:p w14:paraId="5978B9BB" w14:textId="77777777" w:rsidR="00700D23" w:rsidRDefault="00F41FD4" w:rsidP="007307C5">
      <w:pPr>
        <w:spacing w:before="120" w:after="120" w:line="264" w:lineRule="auto"/>
        <w:rPr>
          <w:rFonts w:eastAsia="Times New Roman" w:cs="Calibri"/>
          <w:b/>
          <w:color w:val="6691AB"/>
        </w:rPr>
      </w:pPr>
      <w:r w:rsidRPr="007A419D">
        <w:rPr>
          <w:rFonts w:cs="Calibri"/>
          <w:noProof/>
          <w:sz w:val="28"/>
          <w:szCs w:val="28"/>
          <w:lang w:eastAsia="el-GR"/>
        </w:rPr>
        <mc:AlternateContent>
          <mc:Choice Requires="wps">
            <w:drawing>
              <wp:anchor distT="0" distB="0" distL="114300" distR="114300" simplePos="0" relativeHeight="251807744" behindDoc="0" locked="0" layoutInCell="1" allowOverlap="1" wp14:anchorId="36D57BDA" wp14:editId="0058CFC4">
                <wp:simplePos x="0" y="0"/>
                <wp:positionH relativeFrom="column">
                  <wp:posOffset>3913505</wp:posOffset>
                </wp:positionH>
                <wp:positionV relativeFrom="paragraph">
                  <wp:posOffset>63831</wp:posOffset>
                </wp:positionV>
                <wp:extent cx="1229995" cy="78740"/>
                <wp:effectExtent l="0" t="0" r="8255" b="0"/>
                <wp:wrapNone/>
                <wp:docPr id="26" name="Rectangle 101" descr="Accent bar right&#10;">
                  <a:extLst xmlns:a="http://schemas.openxmlformats.org/drawingml/2006/main">
                    <a:ext uri="{FF2B5EF4-FFF2-40B4-BE49-F238E27FC236}">
                      <a16:creationId xmlns:a16="http://schemas.microsoft.com/office/drawing/2014/main" id="{A7CD04AE-9A8B-4DED-855D-F51B510D0B69}"/>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9995" cy="78740"/>
                        </a:xfrm>
                        <a:prstGeom prst="rect">
                          <a:avLst/>
                        </a:prstGeom>
                        <a:solidFill>
                          <a:srgbClr val="6691AB"/>
                        </a:solidFill>
                        <a:ln w="12700" cap="flat" cmpd="sng" algn="ctr">
                          <a:noFill/>
                          <a:prstDash val="solid"/>
                          <a:miter lim="800000"/>
                        </a:ln>
                        <a:effectLst/>
                      </wps:spPr>
                      <wps:bodyPr rtlCol="0" anchor="ctr"/>
                    </wps:wsp>
                  </a:graphicData>
                </a:graphic>
              </wp:anchor>
            </w:drawing>
          </mc:Choice>
          <mc:Fallback>
            <w:pict>
              <v:rect w14:anchorId="5C6C29D3" id="Rectangle 101" o:spid="_x0000_s1026" alt="Accent bar right&#10;" style="position:absolute;margin-left:308.15pt;margin-top:5.05pt;width:96.85pt;height:6.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" fillcolor="#6691ab" stroked="f" strokeweight="1pt"/>
            </w:pict>
          </mc:Fallback>
        </mc:AlternateContent>
      </w:r>
    </w:p>
    <w:p w14:paraId="077A1BAB" w14:textId="6DF7CA6B" w:rsidR="00C1355C" w:rsidRPr="00D719DB" w:rsidRDefault="00C1355C" w:rsidP="00D719DB">
      <w:pPr>
        <w:spacing w:after="120" w:line="240" w:lineRule="exact"/>
        <w:ind w:left="-720"/>
        <w:jc w:val="both"/>
        <w:rPr>
          <w:i/>
          <w:iCs/>
          <w:sz w:val="20"/>
          <w:szCs w:val="20"/>
        </w:rPr>
      </w:pPr>
      <w:r w:rsidRPr="00D719DB">
        <w:rPr>
          <w:i/>
          <w:iCs/>
          <w:sz w:val="20"/>
          <w:szCs w:val="20"/>
        </w:rPr>
        <w:t xml:space="preserve">«Το 2020 </w:t>
      </w:r>
      <w:r w:rsidR="00FB6122">
        <w:rPr>
          <w:i/>
          <w:iCs/>
          <w:sz w:val="20"/>
          <w:szCs w:val="20"/>
        </w:rPr>
        <w:t xml:space="preserve">ανταπεξήλθαμε </w:t>
      </w:r>
      <w:r w:rsidR="00D226AF">
        <w:rPr>
          <w:i/>
          <w:iCs/>
          <w:sz w:val="20"/>
          <w:szCs w:val="20"/>
        </w:rPr>
        <w:t>σε</w:t>
      </w:r>
      <w:r w:rsidR="00337141">
        <w:rPr>
          <w:i/>
          <w:iCs/>
          <w:sz w:val="20"/>
          <w:szCs w:val="20"/>
        </w:rPr>
        <w:t xml:space="preserve"> αντίξοε</w:t>
      </w:r>
      <w:r w:rsidRPr="00D719DB">
        <w:rPr>
          <w:i/>
          <w:iCs/>
          <w:sz w:val="20"/>
          <w:szCs w:val="20"/>
        </w:rPr>
        <w:t>ς συ</w:t>
      </w:r>
      <w:r w:rsidR="00FB6122">
        <w:rPr>
          <w:i/>
          <w:iCs/>
          <w:sz w:val="20"/>
          <w:szCs w:val="20"/>
        </w:rPr>
        <w:t>νθήκες, επιτυγχάνοντας σημαντικούς στόχους</w:t>
      </w:r>
      <w:r w:rsidRPr="00D719DB">
        <w:rPr>
          <w:i/>
          <w:iCs/>
          <w:sz w:val="20"/>
          <w:szCs w:val="20"/>
        </w:rPr>
        <w:t xml:space="preserve"> ορόσημα που έθεσαν τις βάσεις για τον στρατηγικό σχεδιασμό της επόμενης ημέρας για την Τράπεζα Πειραιώς.</w:t>
      </w:r>
    </w:p>
    <w:p w14:paraId="728435B3" w14:textId="35046E77" w:rsidR="00C1355C" w:rsidRPr="00D719DB" w:rsidRDefault="00C1355C" w:rsidP="00D719DB">
      <w:pPr>
        <w:spacing w:after="120" w:line="240" w:lineRule="exact"/>
        <w:ind w:left="-720"/>
        <w:jc w:val="both"/>
        <w:rPr>
          <w:i/>
          <w:iCs/>
          <w:sz w:val="20"/>
          <w:szCs w:val="20"/>
        </w:rPr>
      </w:pPr>
      <w:r w:rsidRPr="00D719DB">
        <w:rPr>
          <w:i/>
          <w:iCs/>
          <w:sz w:val="20"/>
          <w:szCs w:val="20"/>
        </w:rPr>
        <w:t>Η σταθερή μας πρόοδο</w:t>
      </w:r>
      <w:r w:rsidR="00D226AF">
        <w:rPr>
          <w:i/>
          <w:iCs/>
          <w:sz w:val="20"/>
          <w:szCs w:val="20"/>
        </w:rPr>
        <w:t>ς</w:t>
      </w:r>
      <w:r w:rsidRPr="00D719DB">
        <w:rPr>
          <w:i/>
          <w:iCs/>
          <w:sz w:val="20"/>
          <w:szCs w:val="20"/>
        </w:rPr>
        <w:t xml:space="preserve"> </w:t>
      </w:r>
      <w:r w:rsidR="00337141" w:rsidRPr="00D719DB">
        <w:rPr>
          <w:i/>
          <w:iCs/>
          <w:sz w:val="20"/>
          <w:szCs w:val="20"/>
        </w:rPr>
        <w:t>κατά</w:t>
      </w:r>
      <w:r w:rsidRPr="00D719DB">
        <w:rPr>
          <w:i/>
          <w:iCs/>
          <w:sz w:val="20"/>
          <w:szCs w:val="20"/>
        </w:rPr>
        <w:t xml:space="preserve"> τη διάρκεια του 2020 αντικατοπτρίζεται στις νέες εκταμιεύσεις δανείων  ύψους €6,3 </w:t>
      </w:r>
      <w:r w:rsidR="00337141" w:rsidRPr="00D719DB">
        <w:rPr>
          <w:i/>
          <w:iCs/>
          <w:sz w:val="20"/>
          <w:szCs w:val="20"/>
        </w:rPr>
        <w:t>δισ.</w:t>
      </w:r>
      <w:r w:rsidRPr="00D719DB">
        <w:rPr>
          <w:i/>
          <w:iCs/>
          <w:sz w:val="20"/>
          <w:szCs w:val="20"/>
        </w:rPr>
        <w:t>, στις νέες εισ</w:t>
      </w:r>
      <w:r w:rsidR="00D226AF">
        <w:rPr>
          <w:i/>
          <w:iCs/>
          <w:sz w:val="20"/>
          <w:szCs w:val="20"/>
        </w:rPr>
        <w:t>ρ</w:t>
      </w:r>
      <w:r w:rsidRPr="00D719DB">
        <w:rPr>
          <w:i/>
          <w:iCs/>
          <w:sz w:val="20"/>
          <w:szCs w:val="20"/>
        </w:rPr>
        <w:t xml:space="preserve">οές καταθέσεων €5,1 </w:t>
      </w:r>
      <w:r w:rsidR="00337141" w:rsidRPr="00D719DB">
        <w:rPr>
          <w:i/>
          <w:iCs/>
          <w:sz w:val="20"/>
          <w:szCs w:val="20"/>
        </w:rPr>
        <w:t>δισ.</w:t>
      </w:r>
      <w:r w:rsidRPr="00D719DB">
        <w:rPr>
          <w:i/>
          <w:iCs/>
          <w:sz w:val="20"/>
          <w:szCs w:val="20"/>
        </w:rPr>
        <w:t xml:space="preserve"> από τον ιδιωτικό τομέα και στην ανθεκτικότητα των βασικών μας οργανικών εσόδων. Παράλληλα, πετύχαμε λειτουργική απόδοση μέσω της περαιτέρω </w:t>
      </w:r>
      <w:r w:rsidR="00FB6122">
        <w:rPr>
          <w:i/>
          <w:iCs/>
          <w:sz w:val="20"/>
          <w:szCs w:val="20"/>
        </w:rPr>
        <w:t>μείωσης</w:t>
      </w:r>
      <w:r w:rsidR="00D226AF">
        <w:rPr>
          <w:i/>
          <w:iCs/>
          <w:sz w:val="20"/>
          <w:szCs w:val="20"/>
        </w:rPr>
        <w:t xml:space="preserve"> </w:t>
      </w:r>
      <w:r w:rsidR="00FB6122">
        <w:rPr>
          <w:i/>
          <w:iCs/>
          <w:sz w:val="20"/>
          <w:szCs w:val="20"/>
        </w:rPr>
        <w:t xml:space="preserve">του </w:t>
      </w:r>
      <w:r w:rsidRPr="00D719DB">
        <w:rPr>
          <w:i/>
          <w:iCs/>
          <w:sz w:val="20"/>
          <w:szCs w:val="20"/>
        </w:rPr>
        <w:t xml:space="preserve">κόστους χάρη στο σχέδιο μετασχηματισμού </w:t>
      </w:r>
      <w:r w:rsidR="00FB6122">
        <w:rPr>
          <w:i/>
          <w:iCs/>
          <w:sz w:val="20"/>
          <w:szCs w:val="20"/>
        </w:rPr>
        <w:t>που εφαρμόζουμε</w:t>
      </w:r>
      <w:r w:rsidRPr="00D719DB">
        <w:rPr>
          <w:i/>
          <w:iCs/>
          <w:sz w:val="20"/>
          <w:szCs w:val="20"/>
        </w:rPr>
        <w:t xml:space="preserve">. Η πρόοδος αυτή </w:t>
      </w:r>
      <w:r w:rsidR="00FB6122">
        <w:rPr>
          <w:i/>
          <w:iCs/>
          <w:sz w:val="20"/>
          <w:szCs w:val="20"/>
        </w:rPr>
        <w:t>αναδεικνύει</w:t>
      </w:r>
      <w:r w:rsidRPr="00D719DB">
        <w:rPr>
          <w:i/>
          <w:iCs/>
          <w:sz w:val="20"/>
          <w:szCs w:val="20"/>
        </w:rPr>
        <w:t xml:space="preserve"> τις </w:t>
      </w:r>
      <w:r w:rsidR="00337141" w:rsidRPr="00D719DB">
        <w:rPr>
          <w:i/>
          <w:iCs/>
          <w:sz w:val="20"/>
          <w:szCs w:val="20"/>
        </w:rPr>
        <w:t>προοπτικές</w:t>
      </w:r>
      <w:r w:rsidRPr="00D719DB">
        <w:rPr>
          <w:i/>
          <w:iCs/>
          <w:sz w:val="20"/>
          <w:szCs w:val="20"/>
        </w:rPr>
        <w:t xml:space="preserve"> που </w:t>
      </w:r>
      <w:r w:rsidR="00FB6122">
        <w:rPr>
          <w:i/>
          <w:iCs/>
          <w:sz w:val="20"/>
          <w:szCs w:val="20"/>
        </w:rPr>
        <w:t xml:space="preserve">διανοίγονται </w:t>
      </w:r>
      <w:r w:rsidRPr="00D719DB">
        <w:rPr>
          <w:i/>
          <w:iCs/>
          <w:sz w:val="20"/>
          <w:szCs w:val="20"/>
        </w:rPr>
        <w:t xml:space="preserve">για την </w:t>
      </w:r>
      <w:r w:rsidR="00FB6122">
        <w:rPr>
          <w:i/>
          <w:iCs/>
          <w:sz w:val="20"/>
          <w:szCs w:val="20"/>
        </w:rPr>
        <w:t xml:space="preserve">Τράπεζα </w:t>
      </w:r>
      <w:r w:rsidRPr="00D719DB">
        <w:rPr>
          <w:i/>
          <w:iCs/>
          <w:sz w:val="20"/>
          <w:szCs w:val="20"/>
        </w:rPr>
        <w:t xml:space="preserve">Πειραιώς και την πορεία που μπορεί να </w:t>
      </w:r>
      <w:r w:rsidR="00D226AF">
        <w:rPr>
          <w:i/>
          <w:iCs/>
          <w:sz w:val="20"/>
          <w:szCs w:val="20"/>
        </w:rPr>
        <w:t>διαγράψει</w:t>
      </w:r>
      <w:r w:rsidRPr="00D719DB">
        <w:rPr>
          <w:i/>
          <w:iCs/>
          <w:sz w:val="20"/>
          <w:szCs w:val="20"/>
        </w:rPr>
        <w:t xml:space="preserve"> μόλις ανακάμψει το μακροοικονομικό περιβάλλον.</w:t>
      </w:r>
    </w:p>
    <w:p w14:paraId="550D1846" w14:textId="21411691" w:rsidR="00C1355C" w:rsidRPr="00D719DB" w:rsidRDefault="00C1355C" w:rsidP="00D719DB">
      <w:pPr>
        <w:spacing w:after="120" w:line="240" w:lineRule="exact"/>
        <w:ind w:left="-720"/>
        <w:jc w:val="both"/>
        <w:rPr>
          <w:i/>
          <w:iCs/>
          <w:sz w:val="20"/>
          <w:szCs w:val="20"/>
        </w:rPr>
      </w:pPr>
      <w:r w:rsidRPr="00D719DB">
        <w:rPr>
          <w:i/>
          <w:iCs/>
          <w:sz w:val="20"/>
          <w:szCs w:val="20"/>
        </w:rPr>
        <w:t xml:space="preserve">Σήμερα </w:t>
      </w:r>
      <w:r w:rsidR="00FB6122">
        <w:rPr>
          <w:i/>
          <w:iCs/>
          <w:sz w:val="20"/>
          <w:szCs w:val="20"/>
        </w:rPr>
        <w:t>πραγματοποιούμε</w:t>
      </w:r>
      <w:r w:rsidR="00D226AF">
        <w:rPr>
          <w:i/>
          <w:iCs/>
          <w:sz w:val="20"/>
          <w:szCs w:val="20"/>
        </w:rPr>
        <w:t xml:space="preserve"> </w:t>
      </w:r>
      <w:r w:rsidRPr="00D719DB">
        <w:rPr>
          <w:i/>
          <w:iCs/>
          <w:sz w:val="20"/>
          <w:szCs w:val="20"/>
        </w:rPr>
        <w:t xml:space="preserve">ένα </w:t>
      </w:r>
      <w:r w:rsidR="00D226AF">
        <w:rPr>
          <w:i/>
          <w:iCs/>
          <w:sz w:val="20"/>
          <w:szCs w:val="20"/>
        </w:rPr>
        <w:t xml:space="preserve">πρόσθετο </w:t>
      </w:r>
      <w:r w:rsidRPr="00D719DB">
        <w:rPr>
          <w:i/>
          <w:iCs/>
          <w:sz w:val="20"/>
          <w:szCs w:val="20"/>
        </w:rPr>
        <w:t xml:space="preserve">σημαντικό βήμα προς τα εμπρός αναφορικά με το πλάνο εξυγίανσης του ισολογισμού </w:t>
      </w:r>
      <w:r w:rsidR="00D226AF">
        <w:rPr>
          <w:i/>
          <w:iCs/>
          <w:sz w:val="20"/>
          <w:szCs w:val="20"/>
        </w:rPr>
        <w:t>μας,</w:t>
      </w:r>
      <w:r w:rsidRPr="00D719DB">
        <w:rPr>
          <w:i/>
          <w:iCs/>
          <w:sz w:val="20"/>
          <w:szCs w:val="20"/>
        </w:rPr>
        <w:t xml:space="preserve"> το οποίο </w:t>
      </w:r>
      <w:r w:rsidR="00FB6122">
        <w:rPr>
          <w:i/>
          <w:iCs/>
          <w:sz w:val="20"/>
          <w:szCs w:val="20"/>
        </w:rPr>
        <w:t>υλοποιούμε με συνέπεια τα τελευταία χρόνια.</w:t>
      </w:r>
      <w:r w:rsidRPr="00D719DB">
        <w:rPr>
          <w:i/>
          <w:iCs/>
          <w:sz w:val="20"/>
          <w:szCs w:val="20"/>
        </w:rPr>
        <w:t xml:space="preserve"> </w:t>
      </w:r>
      <w:r w:rsidR="00FB6122">
        <w:rPr>
          <w:i/>
          <w:iCs/>
          <w:sz w:val="20"/>
          <w:szCs w:val="20"/>
        </w:rPr>
        <w:t>Β</w:t>
      </w:r>
      <w:r w:rsidR="00D226AF">
        <w:rPr>
          <w:i/>
          <w:iCs/>
          <w:sz w:val="20"/>
          <w:szCs w:val="20"/>
        </w:rPr>
        <w:t>ήμα</w:t>
      </w:r>
      <w:r w:rsidRPr="00D719DB">
        <w:rPr>
          <w:i/>
          <w:iCs/>
          <w:sz w:val="20"/>
          <w:szCs w:val="20"/>
        </w:rPr>
        <w:t xml:space="preserve"> που θα επιτρέψει να  επικεντρωθούμε στις βασικές </w:t>
      </w:r>
      <w:r w:rsidR="00FB6122">
        <w:rPr>
          <w:i/>
          <w:iCs/>
          <w:sz w:val="20"/>
          <w:szCs w:val="20"/>
        </w:rPr>
        <w:t xml:space="preserve">μας </w:t>
      </w:r>
      <w:r w:rsidRPr="00D719DB">
        <w:rPr>
          <w:i/>
          <w:iCs/>
          <w:sz w:val="20"/>
          <w:szCs w:val="20"/>
        </w:rPr>
        <w:t>δραστηριότητες που δεν είναι άλλ</w:t>
      </w:r>
      <w:r w:rsidR="00D226AF">
        <w:rPr>
          <w:i/>
          <w:iCs/>
          <w:sz w:val="20"/>
          <w:szCs w:val="20"/>
        </w:rPr>
        <w:t>ες</w:t>
      </w:r>
      <w:r w:rsidRPr="00D719DB">
        <w:rPr>
          <w:i/>
          <w:iCs/>
          <w:sz w:val="20"/>
          <w:szCs w:val="20"/>
        </w:rPr>
        <w:t xml:space="preserve"> </w:t>
      </w:r>
      <w:r w:rsidR="00337141" w:rsidRPr="00D719DB">
        <w:rPr>
          <w:i/>
          <w:iCs/>
          <w:sz w:val="20"/>
          <w:szCs w:val="20"/>
        </w:rPr>
        <w:t>από</w:t>
      </w:r>
      <w:r w:rsidRPr="00D719DB">
        <w:rPr>
          <w:i/>
          <w:iCs/>
          <w:sz w:val="20"/>
          <w:szCs w:val="20"/>
        </w:rPr>
        <w:t xml:space="preserve"> </w:t>
      </w:r>
      <w:r w:rsidR="00114958">
        <w:rPr>
          <w:i/>
          <w:iCs/>
          <w:sz w:val="20"/>
          <w:szCs w:val="20"/>
        </w:rPr>
        <w:t>τη</w:t>
      </w:r>
      <w:r w:rsidRPr="00D719DB">
        <w:rPr>
          <w:i/>
          <w:iCs/>
          <w:sz w:val="20"/>
          <w:szCs w:val="20"/>
        </w:rPr>
        <w:t xml:space="preserve"> </w:t>
      </w:r>
      <w:r w:rsidR="00114958">
        <w:rPr>
          <w:i/>
          <w:iCs/>
          <w:sz w:val="20"/>
          <w:szCs w:val="20"/>
        </w:rPr>
        <w:t>χρηματοδότηση</w:t>
      </w:r>
      <w:r w:rsidRPr="00D719DB">
        <w:rPr>
          <w:i/>
          <w:iCs/>
          <w:sz w:val="20"/>
          <w:szCs w:val="20"/>
        </w:rPr>
        <w:t xml:space="preserve"> τη</w:t>
      </w:r>
      <w:r w:rsidR="00114958">
        <w:rPr>
          <w:i/>
          <w:iCs/>
          <w:sz w:val="20"/>
          <w:szCs w:val="20"/>
        </w:rPr>
        <w:t>ς</w:t>
      </w:r>
      <w:r w:rsidRPr="00D719DB">
        <w:rPr>
          <w:i/>
          <w:iCs/>
          <w:sz w:val="20"/>
          <w:szCs w:val="20"/>
        </w:rPr>
        <w:t xml:space="preserve"> ελληνική</w:t>
      </w:r>
      <w:r w:rsidR="00114958">
        <w:rPr>
          <w:i/>
          <w:iCs/>
          <w:sz w:val="20"/>
          <w:szCs w:val="20"/>
        </w:rPr>
        <w:t>ς</w:t>
      </w:r>
      <w:r w:rsidRPr="00D719DB">
        <w:rPr>
          <w:i/>
          <w:iCs/>
          <w:sz w:val="20"/>
          <w:szCs w:val="20"/>
        </w:rPr>
        <w:t xml:space="preserve"> οικονομία</w:t>
      </w:r>
      <w:r w:rsidR="00114958">
        <w:rPr>
          <w:i/>
          <w:iCs/>
          <w:sz w:val="20"/>
          <w:szCs w:val="20"/>
        </w:rPr>
        <w:t>ς</w:t>
      </w:r>
      <w:r w:rsidRPr="00D719DB">
        <w:rPr>
          <w:i/>
          <w:iCs/>
          <w:sz w:val="20"/>
          <w:szCs w:val="20"/>
        </w:rPr>
        <w:t xml:space="preserve">. Ο παραπάνω στόχος ενσωματώνεται στο νέο στρατηγικό </w:t>
      </w:r>
      <w:r w:rsidR="00C67387">
        <w:rPr>
          <w:i/>
          <w:iCs/>
          <w:sz w:val="20"/>
          <w:szCs w:val="20"/>
        </w:rPr>
        <w:t>σχέδιο</w:t>
      </w:r>
      <w:r w:rsidRPr="00D719DB">
        <w:rPr>
          <w:i/>
          <w:iCs/>
          <w:sz w:val="20"/>
          <w:szCs w:val="20"/>
        </w:rPr>
        <w:t xml:space="preserve"> “</w:t>
      </w:r>
      <w:proofErr w:type="spellStart"/>
      <w:r w:rsidRPr="00D719DB">
        <w:rPr>
          <w:i/>
          <w:iCs/>
          <w:sz w:val="20"/>
          <w:szCs w:val="20"/>
        </w:rPr>
        <w:t>Sunrise</w:t>
      </w:r>
      <w:proofErr w:type="spellEnd"/>
      <w:r w:rsidRPr="00D719DB">
        <w:rPr>
          <w:i/>
          <w:iCs/>
          <w:sz w:val="20"/>
          <w:szCs w:val="20"/>
        </w:rPr>
        <w:t>”  της Τράπεζας Πειραιώς.</w:t>
      </w:r>
    </w:p>
    <w:p w14:paraId="72692632" w14:textId="7E49E2B7" w:rsidR="00C1355C" w:rsidRPr="00D719DB" w:rsidRDefault="00C1355C" w:rsidP="00D719DB">
      <w:pPr>
        <w:spacing w:after="120" w:line="240" w:lineRule="exact"/>
        <w:ind w:left="-720"/>
        <w:jc w:val="both"/>
        <w:rPr>
          <w:i/>
          <w:iCs/>
          <w:sz w:val="20"/>
          <w:szCs w:val="20"/>
        </w:rPr>
      </w:pPr>
      <w:r w:rsidRPr="00D719DB">
        <w:rPr>
          <w:i/>
          <w:iCs/>
          <w:sz w:val="20"/>
          <w:szCs w:val="20"/>
        </w:rPr>
        <w:t xml:space="preserve">Το  </w:t>
      </w:r>
      <w:proofErr w:type="spellStart"/>
      <w:r w:rsidRPr="00D719DB">
        <w:rPr>
          <w:i/>
          <w:iCs/>
          <w:sz w:val="20"/>
          <w:szCs w:val="20"/>
        </w:rPr>
        <w:t>Sunrise</w:t>
      </w:r>
      <w:proofErr w:type="spellEnd"/>
      <w:r w:rsidRPr="00D719DB">
        <w:rPr>
          <w:i/>
          <w:iCs/>
          <w:sz w:val="20"/>
          <w:szCs w:val="20"/>
        </w:rPr>
        <w:t xml:space="preserve"> αποτελείται από μια σειρά συναλλαγών</w:t>
      </w:r>
      <w:r w:rsidR="00ED1657">
        <w:rPr>
          <w:i/>
          <w:iCs/>
          <w:sz w:val="20"/>
          <w:szCs w:val="20"/>
        </w:rPr>
        <w:t>-</w:t>
      </w:r>
      <w:r w:rsidRPr="00D719DB">
        <w:rPr>
          <w:i/>
          <w:iCs/>
          <w:sz w:val="20"/>
          <w:szCs w:val="20"/>
        </w:rPr>
        <w:t xml:space="preserve">ορόσημα που θα εξυγιάνουν οριστικά τον ισολογισμό της </w:t>
      </w:r>
      <w:r w:rsidR="00114958">
        <w:rPr>
          <w:i/>
          <w:iCs/>
          <w:sz w:val="20"/>
          <w:szCs w:val="20"/>
        </w:rPr>
        <w:t>Τράπεζας</w:t>
      </w:r>
      <w:r w:rsidRPr="00D719DB">
        <w:rPr>
          <w:i/>
          <w:iCs/>
          <w:sz w:val="20"/>
          <w:szCs w:val="20"/>
        </w:rPr>
        <w:t xml:space="preserve"> και θα υποστηρίξουν μια ελκυστική οικονομική προοπτική, βασισμένη στην κερδοφόρο ανάπτυξη.</w:t>
      </w:r>
    </w:p>
    <w:p w14:paraId="46EB342A" w14:textId="7BACED20" w:rsidR="00C1355C" w:rsidRPr="00D719DB" w:rsidRDefault="00C1355C" w:rsidP="00D719DB">
      <w:pPr>
        <w:spacing w:after="120" w:line="240" w:lineRule="exact"/>
        <w:ind w:left="-720"/>
        <w:jc w:val="both"/>
        <w:rPr>
          <w:i/>
          <w:iCs/>
          <w:sz w:val="20"/>
          <w:szCs w:val="20"/>
        </w:rPr>
      </w:pPr>
      <w:r w:rsidRPr="00D719DB">
        <w:rPr>
          <w:i/>
          <w:iCs/>
          <w:sz w:val="20"/>
          <w:szCs w:val="20"/>
        </w:rPr>
        <w:t xml:space="preserve">Οι συναλλαγές Phoenix-Vega ύψους €7 </w:t>
      </w:r>
      <w:r w:rsidR="009979CE">
        <w:rPr>
          <w:i/>
          <w:iCs/>
          <w:sz w:val="20"/>
          <w:szCs w:val="20"/>
        </w:rPr>
        <w:t>δισ.</w:t>
      </w:r>
      <w:r w:rsidRPr="00D719DB">
        <w:rPr>
          <w:i/>
          <w:iCs/>
          <w:sz w:val="20"/>
          <w:szCs w:val="20"/>
        </w:rPr>
        <w:t xml:space="preserve"> αναμέν</w:t>
      </w:r>
      <w:r w:rsidR="00ED1657">
        <w:rPr>
          <w:i/>
          <w:iCs/>
          <w:sz w:val="20"/>
          <w:szCs w:val="20"/>
        </w:rPr>
        <w:t>εται</w:t>
      </w:r>
      <w:r w:rsidRPr="00D719DB">
        <w:rPr>
          <w:i/>
          <w:iCs/>
          <w:sz w:val="20"/>
          <w:szCs w:val="20"/>
        </w:rPr>
        <w:t xml:space="preserve"> να ολοκληρωθούν εντός του τρέχοντος έτους με </w:t>
      </w:r>
      <w:r w:rsidR="00ED1657">
        <w:rPr>
          <w:i/>
          <w:iCs/>
          <w:sz w:val="20"/>
          <w:szCs w:val="20"/>
        </w:rPr>
        <w:t xml:space="preserve">τη </w:t>
      </w:r>
      <w:r w:rsidR="00114958">
        <w:rPr>
          <w:i/>
          <w:iCs/>
          <w:sz w:val="20"/>
          <w:szCs w:val="20"/>
        </w:rPr>
        <w:t>συμβολή</w:t>
      </w:r>
      <w:r w:rsidR="00ED1657">
        <w:rPr>
          <w:i/>
          <w:iCs/>
          <w:sz w:val="20"/>
          <w:szCs w:val="20"/>
        </w:rPr>
        <w:t xml:space="preserve"> του προγράμματος </w:t>
      </w:r>
      <w:r w:rsidRPr="00D719DB">
        <w:rPr>
          <w:i/>
          <w:iCs/>
          <w:sz w:val="20"/>
          <w:szCs w:val="20"/>
        </w:rPr>
        <w:t xml:space="preserve">«Ηρακλής», που μας παρέχει τη </w:t>
      </w:r>
      <w:r w:rsidR="00114958">
        <w:rPr>
          <w:i/>
          <w:iCs/>
          <w:sz w:val="20"/>
          <w:szCs w:val="20"/>
        </w:rPr>
        <w:t xml:space="preserve">δυνατότητα πραγματοποίησης </w:t>
      </w:r>
      <w:r w:rsidR="00ED1657">
        <w:rPr>
          <w:i/>
          <w:iCs/>
          <w:sz w:val="20"/>
          <w:szCs w:val="20"/>
        </w:rPr>
        <w:t xml:space="preserve">των συναλλαγών, </w:t>
      </w:r>
      <w:r w:rsidRPr="00D719DB">
        <w:rPr>
          <w:i/>
          <w:iCs/>
          <w:sz w:val="20"/>
          <w:szCs w:val="20"/>
        </w:rPr>
        <w:t xml:space="preserve">προκειμένου να προχωρήσουμε με ταχύτερο ρυθμό </w:t>
      </w:r>
      <w:r w:rsidR="00ED1657">
        <w:rPr>
          <w:i/>
          <w:iCs/>
          <w:sz w:val="20"/>
          <w:szCs w:val="20"/>
        </w:rPr>
        <w:t>σ</w:t>
      </w:r>
      <w:r w:rsidRPr="00D719DB">
        <w:rPr>
          <w:i/>
          <w:iCs/>
          <w:sz w:val="20"/>
          <w:szCs w:val="20"/>
        </w:rPr>
        <w:t>την οριστική μείωση του αποθέματος των μη εξυπηρετούμενων ανοιγμάτων (</w:t>
      </w:r>
      <w:r w:rsidR="00182520">
        <w:rPr>
          <w:i/>
          <w:iCs/>
          <w:sz w:val="20"/>
          <w:szCs w:val="20"/>
          <w:lang w:val="en-US"/>
        </w:rPr>
        <w:t>NPEs</w:t>
      </w:r>
      <w:r w:rsidRPr="00D719DB">
        <w:rPr>
          <w:i/>
          <w:iCs/>
          <w:sz w:val="20"/>
          <w:szCs w:val="20"/>
        </w:rPr>
        <w:t xml:space="preserve">). Για τους επόμενους 12 μήνες έχει προγραμματιστεί επιπρόσθετη μείωση €12 δισ. </w:t>
      </w:r>
      <w:proofErr w:type="gramStart"/>
      <w:r w:rsidR="00182520">
        <w:rPr>
          <w:i/>
          <w:iCs/>
          <w:sz w:val="20"/>
          <w:szCs w:val="20"/>
          <w:lang w:val="en-US"/>
        </w:rPr>
        <w:t>NPEs</w:t>
      </w:r>
      <w:r w:rsidRPr="00D719DB">
        <w:rPr>
          <w:i/>
          <w:iCs/>
          <w:sz w:val="20"/>
          <w:szCs w:val="20"/>
        </w:rPr>
        <w:t xml:space="preserve"> ,</w:t>
      </w:r>
      <w:proofErr w:type="gramEnd"/>
      <w:r w:rsidRPr="00D719DB">
        <w:rPr>
          <w:i/>
          <w:iCs/>
          <w:sz w:val="20"/>
          <w:szCs w:val="20"/>
        </w:rPr>
        <w:t xml:space="preserve"> γεγονός που θα μας φέρει γρηγορότερα σε μονοψήφιο δείκτη </w:t>
      </w:r>
      <w:r w:rsidR="00ED1657">
        <w:rPr>
          <w:i/>
          <w:iCs/>
          <w:sz w:val="20"/>
          <w:szCs w:val="20"/>
          <w:lang w:val="en-US"/>
        </w:rPr>
        <w:t>NPE</w:t>
      </w:r>
      <w:r w:rsidRPr="00D719DB">
        <w:rPr>
          <w:i/>
          <w:iCs/>
          <w:sz w:val="20"/>
          <w:szCs w:val="20"/>
        </w:rPr>
        <w:t>, επιτρέποντάς μας να επιτύχουμε μεσοπρόθεσμη απόδοση ενσώματων ιδίων κεφαλαίων άνω του 10%.</w:t>
      </w:r>
    </w:p>
    <w:p w14:paraId="483D0D98" w14:textId="3675AACE" w:rsidR="00C1355C" w:rsidRPr="00D719DB" w:rsidRDefault="00C1355C" w:rsidP="00D719DB">
      <w:pPr>
        <w:spacing w:after="120" w:line="240" w:lineRule="exact"/>
        <w:ind w:left="-720"/>
        <w:jc w:val="both"/>
        <w:rPr>
          <w:i/>
          <w:iCs/>
          <w:sz w:val="20"/>
          <w:szCs w:val="20"/>
        </w:rPr>
      </w:pPr>
      <w:r w:rsidRPr="00D719DB">
        <w:rPr>
          <w:i/>
          <w:iCs/>
          <w:sz w:val="20"/>
          <w:szCs w:val="20"/>
        </w:rPr>
        <w:t>Για τη</w:t>
      </w:r>
      <w:r w:rsidR="00ED1657">
        <w:rPr>
          <w:i/>
          <w:iCs/>
          <w:sz w:val="20"/>
          <w:szCs w:val="20"/>
        </w:rPr>
        <w:t>ν</w:t>
      </w:r>
      <w:r w:rsidRPr="00D719DB">
        <w:rPr>
          <w:i/>
          <w:iCs/>
          <w:sz w:val="20"/>
          <w:szCs w:val="20"/>
        </w:rPr>
        <w:t xml:space="preserve"> υλοποίηση του </w:t>
      </w:r>
      <w:r w:rsidR="00ED1657">
        <w:rPr>
          <w:i/>
          <w:iCs/>
          <w:sz w:val="20"/>
          <w:szCs w:val="20"/>
        </w:rPr>
        <w:t xml:space="preserve">σχεδίου </w:t>
      </w:r>
      <w:r w:rsidRPr="00D719DB">
        <w:rPr>
          <w:i/>
          <w:iCs/>
          <w:sz w:val="20"/>
          <w:szCs w:val="20"/>
        </w:rPr>
        <w:t>“</w:t>
      </w:r>
      <w:proofErr w:type="spellStart"/>
      <w:r w:rsidRPr="00D719DB">
        <w:rPr>
          <w:i/>
          <w:iCs/>
          <w:sz w:val="20"/>
          <w:szCs w:val="20"/>
        </w:rPr>
        <w:t>Sunrise</w:t>
      </w:r>
      <w:proofErr w:type="spellEnd"/>
      <w:r w:rsidRPr="00D719DB">
        <w:rPr>
          <w:i/>
          <w:iCs/>
          <w:sz w:val="20"/>
          <w:szCs w:val="20"/>
        </w:rPr>
        <w:t xml:space="preserve">”, μια σειρά από άρτια συντονισμένες και </w:t>
      </w:r>
      <w:proofErr w:type="spellStart"/>
      <w:r w:rsidR="00ED1657">
        <w:rPr>
          <w:i/>
          <w:iCs/>
          <w:sz w:val="20"/>
          <w:szCs w:val="20"/>
        </w:rPr>
        <w:t>στοχευμένες</w:t>
      </w:r>
      <w:proofErr w:type="spellEnd"/>
      <w:r w:rsidR="00ED1657">
        <w:rPr>
          <w:i/>
          <w:iCs/>
          <w:sz w:val="20"/>
          <w:szCs w:val="20"/>
        </w:rPr>
        <w:t xml:space="preserve"> </w:t>
      </w:r>
      <w:r w:rsidRPr="00D719DB">
        <w:rPr>
          <w:i/>
          <w:iCs/>
          <w:sz w:val="20"/>
          <w:szCs w:val="20"/>
        </w:rPr>
        <w:t xml:space="preserve">δράσεις κεφαλαιακής ενίσχυσης με σωρευτικό όφελος περίπου €2,6 </w:t>
      </w:r>
      <w:r w:rsidR="00337141" w:rsidRPr="00D719DB">
        <w:rPr>
          <w:i/>
          <w:iCs/>
          <w:sz w:val="20"/>
          <w:szCs w:val="20"/>
        </w:rPr>
        <w:t>δισ.</w:t>
      </w:r>
      <w:r w:rsidRPr="00D719DB">
        <w:rPr>
          <w:i/>
          <w:iCs/>
          <w:sz w:val="20"/>
          <w:szCs w:val="20"/>
        </w:rPr>
        <w:t xml:space="preserve"> ακολουθούν σταδιακά στην επόμενη περίοδο, εκ των οποίων περίπου €1 </w:t>
      </w:r>
      <w:r w:rsidR="009979CE">
        <w:rPr>
          <w:i/>
          <w:iCs/>
          <w:sz w:val="20"/>
          <w:szCs w:val="20"/>
        </w:rPr>
        <w:t>δισ.</w:t>
      </w:r>
      <w:r w:rsidRPr="00D719DB">
        <w:rPr>
          <w:i/>
          <w:iCs/>
          <w:sz w:val="20"/>
          <w:szCs w:val="20"/>
        </w:rPr>
        <w:t xml:space="preserve"> </w:t>
      </w:r>
      <w:r w:rsidR="00ED1657">
        <w:rPr>
          <w:i/>
          <w:iCs/>
          <w:sz w:val="20"/>
          <w:szCs w:val="20"/>
        </w:rPr>
        <w:t xml:space="preserve">από </w:t>
      </w:r>
      <w:r w:rsidRPr="00D719DB">
        <w:rPr>
          <w:i/>
          <w:iCs/>
          <w:sz w:val="20"/>
          <w:szCs w:val="20"/>
        </w:rPr>
        <w:t xml:space="preserve">αύξηση μετοχικού κεφαλαίου μέσω </w:t>
      </w:r>
      <w:r w:rsidR="00ED1657">
        <w:rPr>
          <w:i/>
          <w:iCs/>
          <w:sz w:val="20"/>
          <w:szCs w:val="20"/>
        </w:rPr>
        <w:t xml:space="preserve">ανοικτής </w:t>
      </w:r>
      <w:r w:rsidRPr="00D719DB">
        <w:rPr>
          <w:i/>
          <w:iCs/>
          <w:sz w:val="20"/>
          <w:szCs w:val="20"/>
        </w:rPr>
        <w:t xml:space="preserve">προσφοράς και </w:t>
      </w:r>
      <w:r w:rsidR="00ED1657">
        <w:rPr>
          <w:i/>
          <w:iCs/>
          <w:sz w:val="20"/>
          <w:szCs w:val="20"/>
        </w:rPr>
        <w:t xml:space="preserve">με </w:t>
      </w:r>
      <w:r w:rsidRPr="00D719DB">
        <w:rPr>
          <w:i/>
          <w:iCs/>
          <w:sz w:val="20"/>
          <w:szCs w:val="20"/>
        </w:rPr>
        <w:t xml:space="preserve">παράλληλη κατάργηση </w:t>
      </w:r>
      <w:r w:rsidR="00ED1657">
        <w:rPr>
          <w:i/>
          <w:iCs/>
          <w:sz w:val="20"/>
          <w:szCs w:val="20"/>
        </w:rPr>
        <w:t xml:space="preserve">των </w:t>
      </w:r>
      <w:r w:rsidRPr="00D719DB">
        <w:rPr>
          <w:i/>
          <w:iCs/>
          <w:sz w:val="20"/>
          <w:szCs w:val="20"/>
        </w:rPr>
        <w:t>δικαιωμάτων προτίμησης. Ταυτόχρονα</w:t>
      </w:r>
      <w:r w:rsidR="00ED1657">
        <w:rPr>
          <w:i/>
          <w:iCs/>
          <w:sz w:val="20"/>
          <w:szCs w:val="20"/>
        </w:rPr>
        <w:t>,</w:t>
      </w:r>
      <w:r w:rsidRPr="00D719DB">
        <w:rPr>
          <w:i/>
          <w:iCs/>
          <w:sz w:val="20"/>
          <w:szCs w:val="20"/>
        </w:rPr>
        <w:t xml:space="preserve"> </w:t>
      </w:r>
      <w:r w:rsidR="00ED1657" w:rsidRPr="00D719DB">
        <w:rPr>
          <w:i/>
          <w:iCs/>
          <w:sz w:val="20"/>
          <w:szCs w:val="20"/>
        </w:rPr>
        <w:t>πέραν της αύξησης του μετοχικού κεφαλαίου</w:t>
      </w:r>
      <w:r w:rsidR="00ED1657">
        <w:rPr>
          <w:i/>
          <w:iCs/>
          <w:sz w:val="20"/>
          <w:szCs w:val="20"/>
        </w:rPr>
        <w:t>,</w:t>
      </w:r>
      <w:r w:rsidR="00ED1657" w:rsidRPr="00D719DB">
        <w:rPr>
          <w:i/>
          <w:iCs/>
          <w:sz w:val="20"/>
          <w:szCs w:val="20"/>
        </w:rPr>
        <w:t xml:space="preserve"> </w:t>
      </w:r>
      <w:r w:rsidRPr="00D719DB">
        <w:rPr>
          <w:i/>
          <w:iCs/>
          <w:sz w:val="20"/>
          <w:szCs w:val="20"/>
        </w:rPr>
        <w:t>επιπρόσθετες ενέργειες με συνολική θετική επίπτωση στα κεφάλαιά μας €1</w:t>
      </w:r>
      <w:r w:rsidR="009979CE">
        <w:rPr>
          <w:i/>
          <w:iCs/>
          <w:sz w:val="20"/>
          <w:szCs w:val="20"/>
        </w:rPr>
        <w:t xml:space="preserve"> δισ.</w:t>
      </w:r>
      <w:r w:rsidRPr="00D719DB">
        <w:rPr>
          <w:i/>
          <w:iCs/>
          <w:sz w:val="20"/>
          <w:szCs w:val="20"/>
        </w:rPr>
        <w:t xml:space="preserve">, είτε έχουν ολοκληρωθεί είτε βρίσκονται ήδη σε εξέλιξη. Ειδικότερα, (α) κέρδη ύψους €0,4 </w:t>
      </w:r>
      <w:r w:rsidR="00337141" w:rsidRPr="00D719DB">
        <w:rPr>
          <w:i/>
          <w:iCs/>
          <w:sz w:val="20"/>
          <w:szCs w:val="20"/>
        </w:rPr>
        <w:t>δισ.</w:t>
      </w:r>
      <w:r w:rsidRPr="00D719DB">
        <w:rPr>
          <w:i/>
          <w:iCs/>
          <w:sz w:val="20"/>
          <w:szCs w:val="20"/>
        </w:rPr>
        <w:t xml:space="preserve"> από το χαρτοφυλάκιο κρατικών ομολόγων έχουν ήδη πραγματοποιηθεί το πρώτο τρίμηνο του 20</w:t>
      </w:r>
      <w:r w:rsidR="00ED1657">
        <w:rPr>
          <w:i/>
          <w:iCs/>
          <w:sz w:val="20"/>
          <w:szCs w:val="20"/>
        </w:rPr>
        <w:t>2</w:t>
      </w:r>
      <w:r w:rsidRPr="00D719DB">
        <w:rPr>
          <w:i/>
          <w:iCs/>
          <w:sz w:val="20"/>
          <w:szCs w:val="20"/>
        </w:rPr>
        <w:t xml:space="preserve">1, (β) €0,3 </w:t>
      </w:r>
      <w:r w:rsidR="00337141" w:rsidRPr="00D719DB">
        <w:rPr>
          <w:i/>
          <w:iCs/>
          <w:sz w:val="20"/>
          <w:szCs w:val="20"/>
        </w:rPr>
        <w:t>δισ.</w:t>
      </w:r>
      <w:r w:rsidRPr="00D719DB">
        <w:rPr>
          <w:i/>
          <w:iCs/>
          <w:sz w:val="20"/>
          <w:szCs w:val="20"/>
        </w:rPr>
        <w:t xml:space="preserve"> από την πώληση της δραστηριότητας </w:t>
      </w:r>
      <w:r w:rsidR="00ED1657">
        <w:rPr>
          <w:i/>
          <w:iCs/>
          <w:sz w:val="20"/>
          <w:szCs w:val="20"/>
        </w:rPr>
        <w:t xml:space="preserve">αποδοχής καρτών </w:t>
      </w:r>
      <w:r w:rsidRPr="00D719DB">
        <w:rPr>
          <w:i/>
          <w:iCs/>
          <w:sz w:val="20"/>
          <w:szCs w:val="20"/>
        </w:rPr>
        <w:t xml:space="preserve">και (γ) €0,3 δισ. από συνθετικές </w:t>
      </w:r>
      <w:proofErr w:type="spellStart"/>
      <w:r w:rsidRPr="00D719DB">
        <w:rPr>
          <w:i/>
          <w:iCs/>
          <w:sz w:val="20"/>
          <w:szCs w:val="20"/>
        </w:rPr>
        <w:t>τιτλοποιήσεις</w:t>
      </w:r>
      <w:proofErr w:type="spellEnd"/>
      <w:r w:rsidRPr="00D719DB">
        <w:rPr>
          <w:i/>
          <w:iCs/>
          <w:sz w:val="20"/>
          <w:szCs w:val="20"/>
        </w:rPr>
        <w:t xml:space="preserve"> επιλεγμένων </w:t>
      </w:r>
      <w:r w:rsidR="00ED1657">
        <w:rPr>
          <w:i/>
          <w:iCs/>
          <w:sz w:val="20"/>
          <w:szCs w:val="20"/>
        </w:rPr>
        <w:t xml:space="preserve">χαρτοφυλακίων </w:t>
      </w:r>
      <w:r w:rsidRPr="00D719DB">
        <w:rPr>
          <w:i/>
          <w:iCs/>
          <w:sz w:val="20"/>
          <w:szCs w:val="20"/>
        </w:rPr>
        <w:t xml:space="preserve">εξυπηρετούμενων δανείων. </w:t>
      </w:r>
      <w:r w:rsidR="00ED1657">
        <w:rPr>
          <w:i/>
          <w:iCs/>
          <w:sz w:val="20"/>
          <w:szCs w:val="20"/>
        </w:rPr>
        <w:t xml:space="preserve">Με </w:t>
      </w:r>
      <w:r w:rsidRPr="00D719DB">
        <w:rPr>
          <w:i/>
          <w:iCs/>
          <w:sz w:val="20"/>
          <w:szCs w:val="20"/>
        </w:rPr>
        <w:t>τις δύο τελευταίες συναλλαγές</w:t>
      </w:r>
      <w:r w:rsidR="00ED1657">
        <w:rPr>
          <w:i/>
          <w:iCs/>
          <w:sz w:val="20"/>
          <w:szCs w:val="20"/>
        </w:rPr>
        <w:t>, εκείνης</w:t>
      </w:r>
      <w:r w:rsidRPr="00D719DB">
        <w:rPr>
          <w:i/>
          <w:iCs/>
          <w:sz w:val="20"/>
          <w:szCs w:val="20"/>
        </w:rPr>
        <w:t xml:space="preserve"> των καρτών</w:t>
      </w:r>
      <w:r w:rsidR="00ED1657">
        <w:rPr>
          <w:i/>
          <w:iCs/>
          <w:sz w:val="20"/>
          <w:szCs w:val="20"/>
        </w:rPr>
        <w:t>,</w:t>
      </w:r>
      <w:r w:rsidRPr="00D719DB">
        <w:rPr>
          <w:i/>
          <w:iCs/>
          <w:sz w:val="20"/>
          <w:szCs w:val="20"/>
        </w:rPr>
        <w:t xml:space="preserve"> καθώς και την πρώτη συνθετική </w:t>
      </w:r>
      <w:proofErr w:type="spellStart"/>
      <w:r w:rsidRPr="00D719DB">
        <w:rPr>
          <w:i/>
          <w:iCs/>
          <w:sz w:val="20"/>
          <w:szCs w:val="20"/>
        </w:rPr>
        <w:t>τιτλοποίηση</w:t>
      </w:r>
      <w:proofErr w:type="spellEnd"/>
      <w:r w:rsidRPr="00D719DB">
        <w:rPr>
          <w:i/>
          <w:iCs/>
          <w:sz w:val="20"/>
          <w:szCs w:val="20"/>
        </w:rPr>
        <w:t xml:space="preserve">, οι οποίες και οι δύο αποτελούν τις πρώτες συναλλαγές του είδους τους για την ελληνική τραπεζική αγορά, είμαστε στην ευχάριστη θέση να ανακοινώσουμε σήμερα την υπογραφή των συμφωνιών με στρατηγικούς διεθνείς </w:t>
      </w:r>
      <w:r w:rsidR="00ED1657">
        <w:rPr>
          <w:i/>
          <w:iCs/>
          <w:sz w:val="20"/>
          <w:szCs w:val="20"/>
        </w:rPr>
        <w:t>εταίρους</w:t>
      </w:r>
      <w:r w:rsidRPr="00D719DB">
        <w:rPr>
          <w:i/>
          <w:iCs/>
          <w:sz w:val="20"/>
          <w:szCs w:val="20"/>
        </w:rPr>
        <w:t xml:space="preserve">. </w:t>
      </w:r>
      <w:r w:rsidR="00ED1657">
        <w:rPr>
          <w:i/>
          <w:iCs/>
          <w:sz w:val="20"/>
          <w:szCs w:val="20"/>
        </w:rPr>
        <w:t>Επιπρόσθετα</w:t>
      </w:r>
      <w:r w:rsidRPr="00D719DB">
        <w:rPr>
          <w:i/>
          <w:iCs/>
          <w:sz w:val="20"/>
          <w:szCs w:val="20"/>
        </w:rPr>
        <w:t xml:space="preserve">, σήμερα υποβάλαμε την αίτηση για </w:t>
      </w:r>
      <w:r w:rsidR="00ED1657">
        <w:rPr>
          <w:i/>
          <w:iCs/>
          <w:sz w:val="20"/>
          <w:szCs w:val="20"/>
        </w:rPr>
        <w:t xml:space="preserve">ένταξη </w:t>
      </w:r>
      <w:r w:rsidRPr="00D719DB">
        <w:rPr>
          <w:i/>
          <w:iCs/>
          <w:sz w:val="20"/>
          <w:szCs w:val="20"/>
        </w:rPr>
        <w:t xml:space="preserve">στο </w:t>
      </w:r>
      <w:r w:rsidR="00ED1657">
        <w:rPr>
          <w:i/>
          <w:iCs/>
          <w:sz w:val="20"/>
          <w:szCs w:val="20"/>
        </w:rPr>
        <w:t>π</w:t>
      </w:r>
      <w:r w:rsidRPr="00D719DB">
        <w:rPr>
          <w:i/>
          <w:iCs/>
          <w:sz w:val="20"/>
          <w:szCs w:val="20"/>
        </w:rPr>
        <w:t xml:space="preserve">ρόγραμμα «Ηρακλής» της καινούργιας </w:t>
      </w:r>
      <w:r w:rsidR="00ED1657">
        <w:rPr>
          <w:i/>
          <w:iCs/>
          <w:sz w:val="20"/>
          <w:szCs w:val="20"/>
        </w:rPr>
        <w:t>μας</w:t>
      </w:r>
      <w:r w:rsidRPr="00D719DB">
        <w:rPr>
          <w:i/>
          <w:iCs/>
          <w:sz w:val="20"/>
          <w:szCs w:val="20"/>
        </w:rPr>
        <w:t xml:space="preserve"> </w:t>
      </w:r>
      <w:proofErr w:type="spellStart"/>
      <w:r w:rsidRPr="00D719DB">
        <w:rPr>
          <w:i/>
          <w:iCs/>
          <w:sz w:val="20"/>
          <w:szCs w:val="20"/>
        </w:rPr>
        <w:t>τιτλοποίησης</w:t>
      </w:r>
      <w:proofErr w:type="spellEnd"/>
      <w:r w:rsidRPr="00D719DB">
        <w:rPr>
          <w:i/>
          <w:iCs/>
          <w:sz w:val="20"/>
          <w:szCs w:val="20"/>
        </w:rPr>
        <w:t xml:space="preserve"> με την επωνυμία “</w:t>
      </w:r>
      <w:proofErr w:type="spellStart"/>
      <w:r w:rsidRPr="00D719DB">
        <w:rPr>
          <w:i/>
          <w:iCs/>
          <w:sz w:val="20"/>
          <w:szCs w:val="20"/>
        </w:rPr>
        <w:t>Sunrise</w:t>
      </w:r>
      <w:proofErr w:type="spellEnd"/>
      <w:r w:rsidRPr="00D719DB">
        <w:rPr>
          <w:i/>
          <w:iCs/>
          <w:sz w:val="20"/>
          <w:szCs w:val="20"/>
        </w:rPr>
        <w:t xml:space="preserve"> 1” συνολικού ύψους  </w:t>
      </w:r>
      <w:r w:rsidR="00182520">
        <w:rPr>
          <w:i/>
          <w:iCs/>
          <w:sz w:val="20"/>
          <w:szCs w:val="20"/>
          <w:lang w:val="en-US"/>
        </w:rPr>
        <w:t>NPEs</w:t>
      </w:r>
      <w:r w:rsidRPr="00D719DB">
        <w:rPr>
          <w:i/>
          <w:iCs/>
          <w:sz w:val="20"/>
          <w:szCs w:val="20"/>
        </w:rPr>
        <w:t xml:space="preserve"> €7 </w:t>
      </w:r>
      <w:r w:rsidR="009979CE">
        <w:rPr>
          <w:i/>
          <w:iCs/>
          <w:sz w:val="20"/>
          <w:szCs w:val="20"/>
        </w:rPr>
        <w:t>δισ.</w:t>
      </w:r>
    </w:p>
    <w:p w14:paraId="693F4DFE" w14:textId="338697B8" w:rsidR="00C1355C" w:rsidRPr="00D719DB" w:rsidRDefault="00C1355C" w:rsidP="00D719DB">
      <w:pPr>
        <w:spacing w:after="120" w:line="240" w:lineRule="exact"/>
        <w:ind w:left="-720"/>
        <w:jc w:val="both"/>
        <w:rPr>
          <w:i/>
          <w:iCs/>
          <w:sz w:val="20"/>
          <w:szCs w:val="20"/>
        </w:rPr>
      </w:pPr>
      <w:r w:rsidRPr="00D719DB">
        <w:rPr>
          <w:i/>
          <w:iCs/>
          <w:sz w:val="20"/>
          <w:szCs w:val="20"/>
        </w:rPr>
        <w:t>Από θέση ισχύος και με έναν πλήρως εξυγιασμένο ισολογισμό, γυρνάμε σελίδα σε ένα νέο κεφάλαιο στην ιστορία της Τράπεζας Πειραιώς. Η αναμενόμενη υποστήριξη των μετόχων μας στην προγραμματισμένη αύξηση του μετοχικού κεφαλαίου</w:t>
      </w:r>
      <w:r w:rsidR="00337293">
        <w:rPr>
          <w:i/>
          <w:iCs/>
          <w:sz w:val="20"/>
          <w:szCs w:val="20"/>
        </w:rPr>
        <w:t>,</w:t>
      </w:r>
      <w:r w:rsidRPr="00D719DB">
        <w:rPr>
          <w:i/>
          <w:iCs/>
          <w:sz w:val="20"/>
          <w:szCs w:val="20"/>
        </w:rPr>
        <w:t xml:space="preserve"> αποτελεί </w:t>
      </w:r>
      <w:r w:rsidR="00ED1657">
        <w:rPr>
          <w:i/>
          <w:iCs/>
          <w:sz w:val="20"/>
          <w:szCs w:val="20"/>
        </w:rPr>
        <w:t>απόδειξη</w:t>
      </w:r>
      <w:r w:rsidRPr="00D719DB">
        <w:rPr>
          <w:i/>
          <w:iCs/>
          <w:sz w:val="20"/>
          <w:szCs w:val="20"/>
        </w:rPr>
        <w:t xml:space="preserve"> για το μέλλον που </w:t>
      </w:r>
      <w:r w:rsidR="00114958">
        <w:rPr>
          <w:i/>
          <w:iCs/>
          <w:sz w:val="20"/>
          <w:szCs w:val="20"/>
        </w:rPr>
        <w:t>διαγράφεται</w:t>
      </w:r>
      <w:r w:rsidRPr="00D719DB">
        <w:rPr>
          <w:i/>
          <w:iCs/>
          <w:sz w:val="20"/>
          <w:szCs w:val="20"/>
        </w:rPr>
        <w:t xml:space="preserve"> για την Τράπεζα  Πειραιώς και τις ελκυστικές αποδόσεις που θα μπορέσει να προσφέρει η Τράπεζ</w:t>
      </w:r>
      <w:r w:rsidR="00ED1657">
        <w:rPr>
          <w:i/>
          <w:iCs/>
          <w:sz w:val="20"/>
          <w:szCs w:val="20"/>
        </w:rPr>
        <w:t>ά</w:t>
      </w:r>
      <w:r w:rsidRPr="00D719DB">
        <w:rPr>
          <w:i/>
          <w:iCs/>
          <w:sz w:val="20"/>
          <w:szCs w:val="20"/>
        </w:rPr>
        <w:t xml:space="preserve"> μας τα επόμενα χρόνια</w:t>
      </w:r>
      <w:r w:rsidR="000A1E95" w:rsidRPr="00D719DB">
        <w:rPr>
          <w:i/>
          <w:iCs/>
          <w:sz w:val="20"/>
          <w:szCs w:val="20"/>
        </w:rPr>
        <w:t>.</w:t>
      </w:r>
      <w:r w:rsidRPr="00D719DB">
        <w:rPr>
          <w:i/>
          <w:iCs/>
          <w:sz w:val="20"/>
          <w:szCs w:val="20"/>
        </w:rPr>
        <w:t>»</w:t>
      </w:r>
    </w:p>
    <w:p w14:paraId="3C9FF7F1" w14:textId="77777777" w:rsidR="000A1E95" w:rsidRDefault="000A1E95" w:rsidP="00C1355C">
      <w:pPr>
        <w:spacing w:after="160" w:line="240" w:lineRule="exact"/>
        <w:ind w:left="-720" w:firstLine="720"/>
        <w:jc w:val="right"/>
        <w:rPr>
          <w:i/>
          <w:iCs/>
          <w:sz w:val="18"/>
          <w:szCs w:val="18"/>
        </w:rPr>
      </w:pPr>
    </w:p>
    <w:p w14:paraId="5FF7BD41" w14:textId="77777777" w:rsidR="00C1355C" w:rsidRPr="00B339B5" w:rsidRDefault="00C1355C" w:rsidP="00C1355C">
      <w:pPr>
        <w:spacing w:after="160" w:line="240" w:lineRule="exact"/>
        <w:ind w:left="-720" w:firstLine="720"/>
        <w:jc w:val="right"/>
        <w:rPr>
          <w:rFonts w:eastAsia="Times New Roman" w:cstheme="minorHAnsi"/>
          <w:color w:val="FF0000"/>
          <w:sz w:val="18"/>
          <w:szCs w:val="18"/>
        </w:rPr>
      </w:pPr>
      <w:r>
        <w:rPr>
          <w:i/>
          <w:iCs/>
          <w:sz w:val="18"/>
          <w:szCs w:val="18"/>
        </w:rPr>
        <w:t>Χρήστος Μεγάλου,</w:t>
      </w:r>
      <w:r w:rsidRPr="00B339B5">
        <w:rPr>
          <w:i/>
          <w:iCs/>
          <w:sz w:val="18"/>
          <w:szCs w:val="18"/>
        </w:rPr>
        <w:t xml:space="preserve"> </w:t>
      </w:r>
      <w:r>
        <w:rPr>
          <w:i/>
          <w:iCs/>
          <w:sz w:val="18"/>
          <w:szCs w:val="18"/>
        </w:rPr>
        <w:t>Διευθύνων Σύμβουλος</w:t>
      </w:r>
    </w:p>
    <w:p w14:paraId="3E244540" w14:textId="77777777" w:rsidR="003A4DAD" w:rsidRDefault="003A4DAD" w:rsidP="00C1355C">
      <w:pPr>
        <w:ind w:left="-180"/>
        <w:rPr>
          <w:rFonts w:eastAsia="Times New Roman" w:cs="Calibri"/>
          <w:b/>
          <w:color w:val="3A73AE" w:themeColor="accent1"/>
          <w:sz w:val="28"/>
          <w:szCs w:val="28"/>
        </w:rPr>
      </w:pPr>
    </w:p>
    <w:p w14:paraId="10816B8A" w14:textId="77777777" w:rsidR="003A4DAD" w:rsidRDefault="003A4DAD">
      <w:pPr>
        <w:rPr>
          <w:rFonts w:eastAsia="Times New Roman" w:cs="Calibri"/>
          <w:b/>
          <w:color w:val="3A73AE" w:themeColor="accent1"/>
          <w:sz w:val="28"/>
          <w:szCs w:val="28"/>
        </w:rPr>
      </w:pPr>
    </w:p>
    <w:p w14:paraId="500744F4" w14:textId="4A0EC027" w:rsidR="00F41FD4" w:rsidRDefault="00F41FD4" w:rsidP="00C1355C">
      <w:pPr>
        <w:ind w:left="-2880" w:right="-97"/>
        <w:jc w:val="right"/>
        <w:rPr>
          <w:rFonts w:eastAsia="Times New Roman" w:cs="Calibri"/>
          <w:b/>
          <w:color w:val="3A73AE" w:themeColor="accent1"/>
          <w:sz w:val="28"/>
          <w:szCs w:val="28"/>
        </w:rPr>
      </w:pPr>
      <w:r>
        <w:rPr>
          <w:rFonts w:eastAsia="Times New Roman" w:cs="Calibri"/>
          <w:b/>
          <w:noProof/>
          <w:color w:val="FF0000"/>
          <w:sz w:val="28"/>
          <w:szCs w:val="28"/>
          <w:lang w:eastAsia="el-GR"/>
        </w:rPr>
        <mc:AlternateContent>
          <mc:Choice Requires="wps">
            <w:drawing>
              <wp:anchor distT="0" distB="0" distL="114300" distR="114300" simplePos="0" relativeHeight="251811840" behindDoc="1" locked="0" layoutInCell="1" allowOverlap="1" wp14:anchorId="295D9EFB" wp14:editId="07A8C280">
                <wp:simplePos x="0" y="0"/>
                <wp:positionH relativeFrom="page">
                  <wp:posOffset>-223284</wp:posOffset>
                </wp:positionH>
                <wp:positionV relativeFrom="paragraph">
                  <wp:posOffset>514055</wp:posOffset>
                </wp:positionV>
                <wp:extent cx="7253605" cy="7176976"/>
                <wp:effectExtent l="0" t="0" r="4445" b="5080"/>
                <wp:wrapNone/>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53605" cy="7176976"/>
                        </a:xfrm>
                        <a:prstGeom prst="rect">
                          <a:avLst/>
                        </a:prstGeom>
                        <a:solidFill>
                          <a:srgbClr val="E6E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DEBDE" w14:textId="77777777" w:rsidR="00337141" w:rsidRDefault="00337141" w:rsidP="00C1355C">
                            <w:pPr>
                              <w:ind w:left="2520"/>
                              <w:jc w:val="center"/>
                              <w:rPr>
                                <w:lang w:val="en-US"/>
                              </w:rPr>
                            </w:pPr>
                          </w:p>
                          <w:p w14:paraId="027E80DD" w14:textId="1C5C9C96" w:rsidR="00337141" w:rsidRPr="00C23ED9" w:rsidRDefault="00337141" w:rsidP="00C1355C">
                            <w:pPr>
                              <w:spacing w:after="120" w:line="264" w:lineRule="auto"/>
                              <w:ind w:left="2520"/>
                              <w:rPr>
                                <w:rFonts w:eastAsia="Times New Roman" w:cs="Calibri"/>
                                <w:b/>
                                <w:color w:val="6691AB"/>
                                <w:sz w:val="20"/>
                                <w:szCs w:val="20"/>
                              </w:rPr>
                            </w:pPr>
                            <w:r>
                              <w:rPr>
                                <w:rFonts w:eastAsia="Times New Roman" w:cs="Calibri"/>
                                <w:b/>
                                <w:color w:val="6691AB"/>
                                <w:sz w:val="20"/>
                                <w:szCs w:val="20"/>
                              </w:rPr>
                              <w:t xml:space="preserve">Κατοχύρωση κερδών €0,4 </w:t>
                            </w:r>
                            <w:r w:rsidR="009979CE">
                              <w:rPr>
                                <w:rFonts w:eastAsia="Times New Roman" w:cs="Calibri"/>
                                <w:b/>
                                <w:color w:val="6691AB"/>
                                <w:sz w:val="20"/>
                                <w:szCs w:val="20"/>
                              </w:rPr>
                              <w:t>δισ.</w:t>
                            </w:r>
                            <w:r>
                              <w:rPr>
                                <w:rFonts w:eastAsia="Times New Roman" w:cs="Calibri"/>
                                <w:b/>
                                <w:color w:val="6691AB"/>
                                <w:sz w:val="20"/>
                                <w:szCs w:val="20"/>
                              </w:rPr>
                              <w:t xml:space="preserve"> από χαρτοφυλάκια χρεογράφων το </w:t>
                            </w:r>
                            <w:r w:rsidRPr="00E55B87">
                              <w:rPr>
                                <w:rFonts w:eastAsia="Times New Roman" w:cs="Calibri"/>
                                <w:b/>
                                <w:color w:val="6691AB"/>
                                <w:sz w:val="20"/>
                                <w:szCs w:val="20"/>
                              </w:rPr>
                              <w:t>1</w:t>
                            </w:r>
                            <w:r>
                              <w:rPr>
                                <w:rFonts w:eastAsia="Times New Roman" w:cs="Calibri"/>
                                <w:b/>
                                <w:color w:val="6691AB"/>
                                <w:sz w:val="20"/>
                                <w:szCs w:val="20"/>
                                <w:lang w:val="en-US"/>
                              </w:rPr>
                              <w:t>o</w:t>
                            </w:r>
                            <w:r w:rsidRPr="00E55B87">
                              <w:rPr>
                                <w:rFonts w:eastAsia="Times New Roman" w:cs="Calibri"/>
                                <w:b/>
                                <w:color w:val="6691AB"/>
                                <w:sz w:val="20"/>
                                <w:szCs w:val="20"/>
                              </w:rPr>
                              <w:t xml:space="preserve"> 3</w:t>
                            </w:r>
                            <w:r>
                              <w:rPr>
                                <w:rFonts w:eastAsia="Times New Roman" w:cs="Calibri"/>
                                <w:b/>
                                <w:color w:val="6691AB"/>
                                <w:sz w:val="20"/>
                                <w:szCs w:val="20"/>
                              </w:rPr>
                              <w:t>μηνο 2021</w:t>
                            </w:r>
                          </w:p>
                          <w:p w14:paraId="4A225043" w14:textId="1DDB3192" w:rsidR="00337141" w:rsidRPr="00120BAB" w:rsidRDefault="00337141" w:rsidP="00C1355C">
                            <w:pPr>
                              <w:pStyle w:val="11"/>
                              <w:numPr>
                                <w:ilvl w:val="0"/>
                                <w:numId w:val="15"/>
                              </w:numPr>
                              <w:suppressAutoHyphens w:val="0"/>
                              <w:spacing w:line="300" w:lineRule="exact"/>
                              <w:ind w:left="2880"/>
                              <w:textAlignment w:val="auto"/>
                              <w:rPr>
                                <w:rFonts w:cs="Calibri"/>
                                <w:sz w:val="20"/>
                                <w:szCs w:val="17"/>
                                <w:lang w:val="el-GR"/>
                              </w:rPr>
                            </w:pPr>
                            <w:r>
                              <w:rPr>
                                <w:rFonts w:cs="Calibri"/>
                                <w:sz w:val="20"/>
                                <w:szCs w:val="17"/>
                                <w:lang w:val="el-GR"/>
                              </w:rPr>
                              <w:t xml:space="preserve">Κέρδη από χαρτοφυλάκιο ομολόγων Ελληνικού Δημοσίου έχουν ήδη πραγματοποιηθεί το 1ο 3μηνο του 2021 – €0,2 </w:t>
                            </w:r>
                            <w:r w:rsidR="009979CE">
                              <w:rPr>
                                <w:rFonts w:cs="Calibri"/>
                                <w:sz w:val="20"/>
                                <w:szCs w:val="17"/>
                                <w:lang w:val="el-GR"/>
                              </w:rPr>
                              <w:t>δισ.</w:t>
                            </w:r>
                            <w:r>
                              <w:rPr>
                                <w:rFonts w:cs="Calibri"/>
                                <w:sz w:val="20"/>
                                <w:szCs w:val="17"/>
                                <w:lang w:val="el-GR"/>
                              </w:rPr>
                              <w:t xml:space="preserve"> κεφαλαιακό κέρδος</w:t>
                            </w:r>
                          </w:p>
                          <w:p w14:paraId="216DFA1A" w14:textId="6A1210CA" w:rsidR="00337141" w:rsidRPr="00906346" w:rsidRDefault="00337141" w:rsidP="00C1355C">
                            <w:pPr>
                              <w:pStyle w:val="11"/>
                              <w:numPr>
                                <w:ilvl w:val="0"/>
                                <w:numId w:val="15"/>
                              </w:numPr>
                              <w:suppressAutoHyphens w:val="0"/>
                              <w:spacing w:line="300" w:lineRule="exact"/>
                              <w:ind w:left="2880"/>
                              <w:textAlignment w:val="auto"/>
                              <w:rPr>
                                <w:sz w:val="20"/>
                                <w:szCs w:val="17"/>
                                <w:lang w:val="el-GR"/>
                              </w:rPr>
                            </w:pPr>
                            <w:r>
                              <w:rPr>
                                <w:rStyle w:val="10"/>
                                <w:sz w:val="20"/>
                                <w:szCs w:val="17"/>
                                <w:lang w:val="el-GR"/>
                              </w:rPr>
                              <w:t xml:space="preserve">Επιπλέον κέρδη από εμπορικές συναλλαγές επί κρατικών ομολόγων που έχουν ήδη πραγματοποιηθεί το </w:t>
                            </w:r>
                            <w:r>
                              <w:rPr>
                                <w:rFonts w:cs="Calibri"/>
                                <w:sz w:val="20"/>
                                <w:szCs w:val="17"/>
                                <w:lang w:val="el-GR"/>
                              </w:rPr>
                              <w:t xml:space="preserve">1ο 3μηνο του 2021 </w:t>
                            </w:r>
                            <w:r w:rsidR="007001C9">
                              <w:rPr>
                                <w:rFonts w:cs="Calibri"/>
                                <w:sz w:val="20"/>
                                <w:szCs w:val="17"/>
                                <w:lang w:val="el-GR"/>
                              </w:rPr>
                              <w:t>–</w:t>
                            </w:r>
                            <w:r>
                              <w:rPr>
                                <w:rFonts w:cs="Calibri"/>
                                <w:sz w:val="20"/>
                                <w:szCs w:val="17"/>
                                <w:lang w:val="el-GR"/>
                              </w:rPr>
                              <w:t xml:space="preserve"> €0,2 </w:t>
                            </w:r>
                            <w:r w:rsidR="009979CE">
                              <w:rPr>
                                <w:rFonts w:cs="Calibri"/>
                                <w:sz w:val="20"/>
                                <w:szCs w:val="17"/>
                                <w:lang w:val="el-GR"/>
                              </w:rPr>
                              <w:t>δισ.</w:t>
                            </w:r>
                            <w:r>
                              <w:rPr>
                                <w:rFonts w:cs="Calibri"/>
                                <w:sz w:val="20"/>
                                <w:szCs w:val="17"/>
                                <w:lang w:val="el-GR"/>
                              </w:rPr>
                              <w:t xml:space="preserve"> κεφαλαιακό κέρδος</w:t>
                            </w:r>
                          </w:p>
                          <w:p w14:paraId="1320872C" w14:textId="77777777" w:rsidR="00337141" w:rsidRPr="00906346" w:rsidRDefault="00337141" w:rsidP="00C1355C">
                            <w:pPr>
                              <w:pStyle w:val="11"/>
                              <w:suppressAutoHyphens w:val="0"/>
                              <w:spacing w:line="300" w:lineRule="exact"/>
                              <w:ind w:left="2520"/>
                              <w:textAlignment w:val="auto"/>
                              <w:rPr>
                                <w:sz w:val="20"/>
                                <w:szCs w:val="17"/>
                                <w:lang w:val="el-GR"/>
                              </w:rPr>
                            </w:pPr>
                          </w:p>
                          <w:p w14:paraId="61EE60A6" w14:textId="585F7893" w:rsidR="00337141" w:rsidRPr="00906346" w:rsidRDefault="00337141" w:rsidP="00C1355C">
                            <w:pPr>
                              <w:pStyle w:val="11"/>
                              <w:suppressAutoHyphens w:val="0"/>
                              <w:spacing w:after="120" w:line="300" w:lineRule="exact"/>
                              <w:ind w:left="2520"/>
                              <w:textAlignment w:val="auto"/>
                              <w:rPr>
                                <w:rStyle w:val="10"/>
                                <w:sz w:val="20"/>
                                <w:szCs w:val="17"/>
                                <w:lang w:val="el-GR"/>
                              </w:rPr>
                            </w:pPr>
                            <w:r>
                              <w:rPr>
                                <w:rFonts w:eastAsia="Times New Roman" w:cs="Calibri"/>
                                <w:b/>
                                <w:color w:val="6691AB"/>
                                <w:sz w:val="20"/>
                                <w:szCs w:val="20"/>
                                <w:lang w:val="el-GR"/>
                              </w:rPr>
                              <w:t xml:space="preserve">Απόσχιση και πώληση της υπηρεσίας αποδοχής καρτών με τίμημα €0,3 </w:t>
                            </w:r>
                            <w:r w:rsidR="009979CE">
                              <w:rPr>
                                <w:rFonts w:eastAsia="Times New Roman" w:cs="Calibri"/>
                                <w:b/>
                                <w:color w:val="6691AB"/>
                                <w:sz w:val="20"/>
                                <w:szCs w:val="20"/>
                                <w:lang w:val="el-GR"/>
                              </w:rPr>
                              <w:t>δισ.</w:t>
                            </w:r>
                          </w:p>
                          <w:p w14:paraId="10FEACF4" w14:textId="77777777" w:rsidR="00337141" w:rsidRPr="00906346"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Η πρώτη ελληνική τράπεζα που υλοποιεί τέτοια συναλλαγή, ακολουθώντας τη βέλτιστη διεθνή πρακτική</w:t>
                            </w:r>
                          </w:p>
                          <w:p w14:paraId="153DCEA8" w14:textId="77777777" w:rsidR="00337141" w:rsidRPr="00477265"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rFonts w:cs="Calibri"/>
                                <w:sz w:val="20"/>
                                <w:szCs w:val="17"/>
                                <w:lang w:val="el-GR"/>
                              </w:rPr>
                              <w:t>Απόσχιση της πλατφόρμας αποδοχής καρτών, με ηγετική θέση στην αγορά με μερίδιο άνω του 20% και πάνω από 170 χιλιάδες εμπόρους, ισχυρή παρουσία στις ΜΜΕ και το ηλεκτρονικό εμπόριο</w:t>
                            </w:r>
                          </w:p>
                          <w:p w14:paraId="7F2DB77A" w14:textId="1E4285C9" w:rsidR="00337141" w:rsidRPr="00477265"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rFonts w:cs="Calibri"/>
                                <w:sz w:val="20"/>
                                <w:szCs w:val="17"/>
                                <w:lang w:val="el-GR"/>
                              </w:rPr>
                              <w:t xml:space="preserve">Μακροχρόνια </w:t>
                            </w:r>
                            <w:r w:rsidR="005C652A">
                              <w:rPr>
                                <w:rStyle w:val="10"/>
                                <w:rFonts w:cs="Calibri"/>
                                <w:sz w:val="20"/>
                                <w:szCs w:val="17"/>
                                <w:lang w:val="el-GR"/>
                              </w:rPr>
                              <w:t xml:space="preserve">αποκλειστική </w:t>
                            </w:r>
                            <w:r>
                              <w:rPr>
                                <w:rStyle w:val="10"/>
                                <w:rFonts w:cs="Calibri"/>
                                <w:sz w:val="20"/>
                                <w:szCs w:val="17"/>
                                <w:lang w:val="el-GR"/>
                              </w:rPr>
                              <w:t xml:space="preserve">εμπορική συνεργασία με την </w:t>
                            </w:r>
                            <w:proofErr w:type="spellStart"/>
                            <w:r>
                              <w:rPr>
                                <w:rStyle w:val="10"/>
                                <w:rFonts w:cs="Calibri"/>
                                <w:sz w:val="20"/>
                                <w:szCs w:val="17"/>
                              </w:rPr>
                              <w:t>Euronet</w:t>
                            </w:r>
                            <w:proofErr w:type="spellEnd"/>
                            <w:r w:rsidR="00702745" w:rsidRPr="00702745">
                              <w:rPr>
                                <w:rStyle w:val="10"/>
                                <w:rFonts w:cs="Calibri"/>
                                <w:sz w:val="20"/>
                                <w:szCs w:val="17"/>
                                <w:lang w:val="el-GR"/>
                              </w:rPr>
                              <w:t xml:space="preserve"> </w:t>
                            </w:r>
                            <w:r w:rsidR="00702745">
                              <w:rPr>
                                <w:rStyle w:val="10"/>
                                <w:rFonts w:cs="Calibri"/>
                                <w:sz w:val="20"/>
                                <w:szCs w:val="17"/>
                              </w:rPr>
                              <w:t>Worldwide</w:t>
                            </w:r>
                          </w:p>
                          <w:p w14:paraId="17E4C938" w14:textId="77777777" w:rsidR="00337141" w:rsidRDefault="00337141" w:rsidP="00C1355C">
                            <w:pPr>
                              <w:pStyle w:val="11"/>
                              <w:numPr>
                                <w:ilvl w:val="0"/>
                                <w:numId w:val="15"/>
                              </w:numPr>
                              <w:suppressAutoHyphens w:val="0"/>
                              <w:spacing w:line="300" w:lineRule="exact"/>
                              <w:ind w:left="2880"/>
                              <w:textAlignment w:val="auto"/>
                              <w:rPr>
                                <w:sz w:val="20"/>
                                <w:szCs w:val="17"/>
                                <w:lang w:val="el-GR"/>
                              </w:rPr>
                            </w:pPr>
                            <w:r>
                              <w:rPr>
                                <w:sz w:val="20"/>
                                <w:szCs w:val="17"/>
                                <w:lang w:val="el-GR"/>
                              </w:rPr>
                              <w:t>Υπογραφή δεσμευτικής συμφωνίας στις 16 Μαρτίου 2021</w:t>
                            </w:r>
                          </w:p>
                          <w:p w14:paraId="3F083399" w14:textId="0EB0B913" w:rsidR="00337141" w:rsidRDefault="00337141" w:rsidP="00C1355C">
                            <w:pPr>
                              <w:pStyle w:val="11"/>
                              <w:numPr>
                                <w:ilvl w:val="0"/>
                                <w:numId w:val="15"/>
                              </w:numPr>
                              <w:suppressAutoHyphens w:val="0"/>
                              <w:spacing w:line="300" w:lineRule="exact"/>
                              <w:ind w:left="2880"/>
                              <w:textAlignment w:val="auto"/>
                              <w:rPr>
                                <w:sz w:val="20"/>
                                <w:szCs w:val="17"/>
                                <w:lang w:val="el-GR"/>
                              </w:rPr>
                            </w:pPr>
                            <w:r>
                              <w:rPr>
                                <w:sz w:val="20"/>
                                <w:szCs w:val="17"/>
                                <w:lang w:val="el-GR"/>
                              </w:rPr>
                              <w:t>Το τίμημα της</w:t>
                            </w:r>
                            <w:r w:rsidR="00C37475">
                              <w:rPr>
                                <w:sz w:val="20"/>
                                <w:szCs w:val="17"/>
                                <w:lang w:val="el-GR"/>
                              </w:rPr>
                              <w:t xml:space="preserve"> συναλλαγής διαμορφώνεται σε €0,</w:t>
                            </w:r>
                            <w:r>
                              <w:rPr>
                                <w:sz w:val="20"/>
                                <w:szCs w:val="17"/>
                                <w:lang w:val="el-GR"/>
                              </w:rPr>
                              <w:t>3</w:t>
                            </w:r>
                            <w:r w:rsidR="009979CE">
                              <w:rPr>
                                <w:sz w:val="20"/>
                                <w:szCs w:val="17"/>
                                <w:lang w:val="el-GR"/>
                              </w:rPr>
                              <w:t>δισ.</w:t>
                            </w:r>
                          </w:p>
                          <w:p w14:paraId="38B04EA6" w14:textId="77777777" w:rsidR="00337141" w:rsidRDefault="00337141" w:rsidP="00C1355C">
                            <w:pPr>
                              <w:spacing w:after="0" w:line="300" w:lineRule="exact"/>
                              <w:ind w:left="2520"/>
                              <w:rPr>
                                <w:rFonts w:eastAsia="Times New Roman" w:cs="Calibri"/>
                                <w:b/>
                                <w:color w:val="3A73AE" w:themeColor="accent1"/>
                                <w:sz w:val="28"/>
                                <w:szCs w:val="28"/>
                              </w:rPr>
                            </w:pPr>
                          </w:p>
                          <w:p w14:paraId="5EC5F684" w14:textId="3BFFE393" w:rsidR="00337141" w:rsidRDefault="005C652A" w:rsidP="00C1355C">
                            <w:pPr>
                              <w:spacing w:after="120" w:line="300" w:lineRule="exact"/>
                              <w:ind w:left="2520"/>
                              <w:rPr>
                                <w:rFonts w:eastAsia="Times New Roman" w:cs="Calibri"/>
                                <w:b/>
                                <w:color w:val="3A73AE" w:themeColor="accent1"/>
                                <w:sz w:val="28"/>
                                <w:szCs w:val="28"/>
                              </w:rPr>
                            </w:pPr>
                            <w:r>
                              <w:rPr>
                                <w:rFonts w:eastAsia="Times New Roman" w:cs="Calibri"/>
                                <w:b/>
                                <w:color w:val="6691AB"/>
                                <w:sz w:val="20"/>
                                <w:szCs w:val="20"/>
                              </w:rPr>
                              <w:t>Συνθετικές</w:t>
                            </w:r>
                            <w:r w:rsidR="00337141">
                              <w:rPr>
                                <w:rFonts w:eastAsia="Times New Roman" w:cs="Calibri"/>
                                <w:b/>
                                <w:color w:val="6691AB"/>
                                <w:sz w:val="20"/>
                                <w:szCs w:val="20"/>
                              </w:rPr>
                              <w:t xml:space="preserve"> </w:t>
                            </w:r>
                            <w:proofErr w:type="spellStart"/>
                            <w:r w:rsidR="00337141">
                              <w:rPr>
                                <w:rFonts w:eastAsia="Times New Roman" w:cs="Calibri"/>
                                <w:b/>
                                <w:color w:val="6691AB"/>
                                <w:sz w:val="20"/>
                                <w:szCs w:val="20"/>
                              </w:rPr>
                              <w:t>τιτλοπ</w:t>
                            </w:r>
                            <w:r>
                              <w:rPr>
                                <w:rFonts w:eastAsia="Times New Roman" w:cs="Calibri"/>
                                <w:b/>
                                <w:color w:val="6691AB"/>
                                <w:sz w:val="20"/>
                                <w:szCs w:val="20"/>
                              </w:rPr>
                              <w:t>οιήσεις</w:t>
                            </w:r>
                            <w:proofErr w:type="spellEnd"/>
                            <w:r w:rsidR="00337141">
                              <w:rPr>
                                <w:rFonts w:eastAsia="Times New Roman" w:cs="Calibri"/>
                                <w:b/>
                                <w:color w:val="6691AB"/>
                                <w:sz w:val="20"/>
                                <w:szCs w:val="20"/>
                              </w:rPr>
                              <w:t xml:space="preserve"> με προσδοκώμενη θετική κεφαλαιακή επίπτωση €0,3 </w:t>
                            </w:r>
                            <w:r w:rsidR="009979CE">
                              <w:rPr>
                                <w:rFonts w:eastAsia="Times New Roman" w:cs="Calibri"/>
                                <w:b/>
                                <w:color w:val="6691AB"/>
                                <w:sz w:val="20"/>
                                <w:szCs w:val="20"/>
                              </w:rPr>
                              <w:t>δισ.</w:t>
                            </w:r>
                          </w:p>
                          <w:p w14:paraId="6B8F1957" w14:textId="2ACE1527" w:rsidR="00337141"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Πρωτοποριακή συναλλαγή για την ελληνική αγορά</w:t>
                            </w:r>
                          </w:p>
                          <w:p w14:paraId="6BCC1451" w14:textId="3722CD1F" w:rsidR="00337141"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Η συναλλαγή αφορά σε αγορά ασφαλίστρου προστασίας έναντι πιστωτικών ζημιών από ιδιώτες επενδυτές σε επιλεγμένα χαρτοφυλάκια ενήμερων δανείων</w:t>
                            </w:r>
                          </w:p>
                          <w:p w14:paraId="0F344F0E" w14:textId="508AE9C9" w:rsidR="00337141"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 xml:space="preserve">Στόχος η </w:t>
                            </w:r>
                            <w:proofErr w:type="spellStart"/>
                            <w:r>
                              <w:rPr>
                                <w:rStyle w:val="10"/>
                                <w:sz w:val="20"/>
                                <w:szCs w:val="17"/>
                                <w:lang w:val="el-GR"/>
                              </w:rPr>
                              <w:t>τιτλοποίηση</w:t>
                            </w:r>
                            <w:proofErr w:type="spellEnd"/>
                            <w:r>
                              <w:rPr>
                                <w:rStyle w:val="10"/>
                                <w:sz w:val="20"/>
                                <w:szCs w:val="17"/>
                                <w:lang w:val="el-GR"/>
                              </w:rPr>
                              <w:t xml:space="preserve"> </w:t>
                            </w:r>
                            <w:r w:rsidR="00EC3ABA">
                              <w:rPr>
                                <w:rStyle w:val="10"/>
                                <w:sz w:val="20"/>
                                <w:szCs w:val="17"/>
                                <w:lang w:val="el-GR"/>
                              </w:rPr>
                              <w:t xml:space="preserve">χαρτοφυλακίων </w:t>
                            </w:r>
                            <w:r>
                              <w:rPr>
                                <w:rStyle w:val="10"/>
                                <w:sz w:val="20"/>
                                <w:szCs w:val="17"/>
                                <w:lang w:val="el-GR"/>
                              </w:rPr>
                              <w:t xml:space="preserve">€2 </w:t>
                            </w:r>
                            <w:r w:rsidR="009979CE">
                              <w:rPr>
                                <w:rStyle w:val="10"/>
                                <w:sz w:val="20"/>
                                <w:szCs w:val="17"/>
                                <w:lang w:val="el-GR"/>
                              </w:rPr>
                              <w:t>δισ.</w:t>
                            </w:r>
                            <w:r>
                              <w:rPr>
                                <w:rStyle w:val="10"/>
                                <w:sz w:val="20"/>
                                <w:szCs w:val="17"/>
                                <w:lang w:val="el-GR"/>
                              </w:rPr>
                              <w:t xml:space="preserve"> Σταθμισμένου Έναντι Κινδύνων Ενεργητικού (</w:t>
                            </w:r>
                            <w:r>
                              <w:rPr>
                                <w:rStyle w:val="10"/>
                                <w:sz w:val="20"/>
                                <w:szCs w:val="17"/>
                              </w:rPr>
                              <w:t>RWA</w:t>
                            </w:r>
                            <w:r>
                              <w:rPr>
                                <w:rStyle w:val="10"/>
                                <w:sz w:val="20"/>
                                <w:szCs w:val="17"/>
                                <w:lang w:val="el-GR"/>
                              </w:rPr>
                              <w:t>) σε δύο διακριτές συναλλαγές</w:t>
                            </w:r>
                          </w:p>
                          <w:p w14:paraId="64C987A7" w14:textId="71704AA7" w:rsidR="00337141" w:rsidRPr="000955E1" w:rsidRDefault="00337141" w:rsidP="00C1355C">
                            <w:pPr>
                              <w:pStyle w:val="11"/>
                              <w:numPr>
                                <w:ilvl w:val="0"/>
                                <w:numId w:val="15"/>
                              </w:numPr>
                              <w:suppressAutoHyphens w:val="0"/>
                              <w:spacing w:line="300" w:lineRule="exact"/>
                              <w:ind w:left="2880"/>
                              <w:textAlignment w:val="auto"/>
                              <w:rPr>
                                <w:sz w:val="20"/>
                                <w:szCs w:val="17"/>
                                <w:lang w:val="el-GR"/>
                              </w:rPr>
                            </w:pPr>
                            <w:r>
                              <w:rPr>
                                <w:rStyle w:val="10"/>
                                <w:sz w:val="20"/>
                                <w:szCs w:val="17"/>
                                <w:lang w:val="el-GR"/>
                              </w:rPr>
                              <w:t xml:space="preserve">Για την 1η συναλλαγή ύψους €0,8 </w:t>
                            </w:r>
                            <w:r w:rsidR="009979CE">
                              <w:rPr>
                                <w:rStyle w:val="10"/>
                                <w:sz w:val="20"/>
                                <w:szCs w:val="17"/>
                                <w:lang w:val="el-GR"/>
                              </w:rPr>
                              <w:t>δισ.</w:t>
                            </w:r>
                            <w:r>
                              <w:rPr>
                                <w:rStyle w:val="10"/>
                                <w:sz w:val="20"/>
                                <w:szCs w:val="17"/>
                                <w:lang w:val="el-GR"/>
                              </w:rPr>
                              <w:t xml:space="preserve"> </w:t>
                            </w:r>
                            <w:r>
                              <w:rPr>
                                <w:rStyle w:val="10"/>
                                <w:sz w:val="20"/>
                                <w:szCs w:val="17"/>
                              </w:rPr>
                              <w:t>RWA</w:t>
                            </w:r>
                            <w:r>
                              <w:rPr>
                                <w:rStyle w:val="10"/>
                                <w:sz w:val="20"/>
                                <w:szCs w:val="17"/>
                                <w:lang w:val="el-GR"/>
                              </w:rPr>
                              <w:t>,</w:t>
                            </w:r>
                            <w:r w:rsidRPr="000955E1">
                              <w:rPr>
                                <w:rStyle w:val="10"/>
                                <w:sz w:val="20"/>
                                <w:szCs w:val="17"/>
                                <w:lang w:val="el-GR"/>
                              </w:rPr>
                              <w:t xml:space="preserve"> </w:t>
                            </w:r>
                            <w:r>
                              <w:rPr>
                                <w:rStyle w:val="10"/>
                                <w:sz w:val="20"/>
                                <w:szCs w:val="17"/>
                                <w:lang w:val="el-GR"/>
                              </w:rPr>
                              <w:t xml:space="preserve">υπεγράφη συμφωνία στις 11 Μαρτίου 2021 με την </w:t>
                            </w:r>
                            <w:proofErr w:type="spellStart"/>
                            <w:r w:rsidRPr="00D543DE">
                              <w:rPr>
                                <w:rFonts w:cs="Calibri"/>
                                <w:bCs/>
                                <w:sz w:val="20"/>
                                <w:szCs w:val="18"/>
                              </w:rPr>
                              <w:t>C</w:t>
                            </w:r>
                            <w:r>
                              <w:rPr>
                                <w:rFonts w:cs="Calibri"/>
                                <w:bCs/>
                                <w:sz w:val="20"/>
                                <w:szCs w:val="18"/>
                              </w:rPr>
                              <w:t>hristofferson</w:t>
                            </w:r>
                            <w:proofErr w:type="spellEnd"/>
                            <w:r w:rsidRPr="000955E1">
                              <w:rPr>
                                <w:rFonts w:cs="Calibri"/>
                                <w:bCs/>
                                <w:sz w:val="20"/>
                                <w:szCs w:val="18"/>
                                <w:lang w:val="el-GR"/>
                              </w:rPr>
                              <w:t xml:space="preserve"> </w:t>
                            </w:r>
                            <w:r w:rsidRPr="00D543DE">
                              <w:rPr>
                                <w:rFonts w:cs="Calibri"/>
                                <w:bCs/>
                                <w:sz w:val="20"/>
                                <w:szCs w:val="18"/>
                              </w:rPr>
                              <w:t>R</w:t>
                            </w:r>
                            <w:r>
                              <w:rPr>
                                <w:rFonts w:cs="Calibri"/>
                                <w:bCs/>
                                <w:sz w:val="20"/>
                                <w:szCs w:val="18"/>
                              </w:rPr>
                              <w:t>obb</w:t>
                            </w:r>
                            <w:r w:rsidRPr="000955E1">
                              <w:rPr>
                                <w:rFonts w:cs="Calibri"/>
                                <w:bCs/>
                                <w:sz w:val="20"/>
                                <w:szCs w:val="18"/>
                                <w:lang w:val="el-GR"/>
                              </w:rPr>
                              <w:t xml:space="preserve"> &amp; </w:t>
                            </w:r>
                            <w:r w:rsidRPr="00D543DE">
                              <w:rPr>
                                <w:rFonts w:cs="Calibri"/>
                                <w:bCs/>
                                <w:sz w:val="20"/>
                                <w:szCs w:val="18"/>
                              </w:rPr>
                              <w:t>C</w:t>
                            </w:r>
                            <w:r>
                              <w:rPr>
                                <w:rFonts w:cs="Calibri"/>
                                <w:bCs/>
                                <w:sz w:val="20"/>
                                <w:szCs w:val="18"/>
                              </w:rPr>
                              <w:t>ompany</w:t>
                            </w:r>
                            <w:r w:rsidRPr="000955E1">
                              <w:rPr>
                                <w:rFonts w:cs="Calibri"/>
                                <w:bCs/>
                                <w:sz w:val="20"/>
                                <w:szCs w:val="18"/>
                                <w:lang w:val="el-GR"/>
                              </w:rPr>
                              <w:t xml:space="preserve"> (“</w:t>
                            </w:r>
                            <w:r>
                              <w:rPr>
                                <w:rFonts w:cs="Calibri"/>
                                <w:bCs/>
                                <w:sz w:val="20"/>
                                <w:szCs w:val="18"/>
                              </w:rPr>
                              <w:t>CRC</w:t>
                            </w:r>
                            <w:r w:rsidRPr="000955E1">
                              <w:rPr>
                                <w:rFonts w:cs="Calibri"/>
                                <w:bCs/>
                                <w:sz w:val="20"/>
                                <w:szCs w:val="18"/>
                                <w:lang w:val="el-GR"/>
                              </w:rPr>
                              <w:t>”)</w:t>
                            </w:r>
                            <w:r>
                              <w:rPr>
                                <w:rFonts w:cs="Calibri"/>
                                <w:bCs/>
                                <w:sz w:val="20"/>
                                <w:szCs w:val="18"/>
                                <w:lang w:val="el-GR"/>
                              </w:rPr>
                              <w:t xml:space="preserve">. Η 2η συναλλαγή ύψους €1,2 </w:t>
                            </w:r>
                            <w:r w:rsidR="009979CE">
                              <w:rPr>
                                <w:rFonts w:cs="Calibri"/>
                                <w:bCs/>
                                <w:sz w:val="20"/>
                                <w:szCs w:val="18"/>
                                <w:lang w:val="el-GR"/>
                              </w:rPr>
                              <w:t>δισ.</w:t>
                            </w:r>
                            <w:r>
                              <w:rPr>
                                <w:rFonts w:cs="Calibri"/>
                                <w:bCs/>
                                <w:sz w:val="20"/>
                                <w:szCs w:val="18"/>
                                <w:lang w:val="el-GR"/>
                              </w:rPr>
                              <w:t xml:space="preserve"> προγραμματίζεται για το τέλος του 2021</w:t>
                            </w:r>
                          </w:p>
                          <w:p w14:paraId="2265FB05" w14:textId="244D6E48" w:rsidR="00337141" w:rsidRPr="00906346"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rPr>
                              <w:t>H</w:t>
                            </w:r>
                            <w:r w:rsidRPr="000955E1">
                              <w:rPr>
                                <w:rStyle w:val="10"/>
                                <w:sz w:val="20"/>
                                <w:szCs w:val="17"/>
                                <w:lang w:val="el-GR"/>
                              </w:rPr>
                              <w:t xml:space="preserve"> </w:t>
                            </w:r>
                            <w:r>
                              <w:rPr>
                                <w:rStyle w:val="10"/>
                                <w:sz w:val="20"/>
                                <w:szCs w:val="17"/>
                                <w:lang w:val="el-GR"/>
                              </w:rPr>
                              <w:t>προσδοκώμενη θετική επίπτωση που προκύπτει στα κεφάλαια από την 1η συναλλαγή διαμορφώνεται σε €0</w:t>
                            </w:r>
                            <w:proofErr w:type="gramStart"/>
                            <w:r>
                              <w:rPr>
                                <w:rStyle w:val="10"/>
                                <w:sz w:val="20"/>
                                <w:szCs w:val="17"/>
                                <w:lang w:val="el-GR"/>
                              </w:rPr>
                              <w:t>,1</w:t>
                            </w:r>
                            <w:proofErr w:type="gramEnd"/>
                            <w:r>
                              <w:rPr>
                                <w:rStyle w:val="10"/>
                                <w:sz w:val="20"/>
                                <w:szCs w:val="17"/>
                                <w:lang w:val="el-GR"/>
                              </w:rPr>
                              <w:t xml:space="preserve"> </w:t>
                            </w:r>
                            <w:r w:rsidR="009979CE">
                              <w:rPr>
                                <w:rStyle w:val="10"/>
                                <w:sz w:val="20"/>
                                <w:szCs w:val="17"/>
                                <w:lang w:val="el-GR"/>
                              </w:rPr>
                              <w:t>δισ.</w:t>
                            </w:r>
                            <w:r>
                              <w:rPr>
                                <w:rStyle w:val="10"/>
                                <w:sz w:val="20"/>
                                <w:szCs w:val="17"/>
                                <w:lang w:val="el-GR"/>
                              </w:rPr>
                              <w:t xml:space="preserve">, ενώ αναμένεται να ανέλθει στα €0,3 </w:t>
                            </w:r>
                            <w:r w:rsidR="009979CE">
                              <w:rPr>
                                <w:rStyle w:val="10"/>
                                <w:sz w:val="20"/>
                                <w:szCs w:val="17"/>
                                <w:lang w:val="el-GR"/>
                              </w:rPr>
                              <w:t>δισ.</w:t>
                            </w:r>
                            <w:r>
                              <w:rPr>
                                <w:rStyle w:val="10"/>
                                <w:sz w:val="20"/>
                                <w:szCs w:val="17"/>
                                <w:lang w:val="el-GR"/>
                              </w:rPr>
                              <w:t xml:space="preserve"> με την ολοκλήρωση της 2ης συναλλαγής</w:t>
                            </w:r>
                          </w:p>
                          <w:p w14:paraId="3D5BB121" w14:textId="77777777" w:rsidR="00337141" w:rsidRDefault="00337141" w:rsidP="00601324">
                            <w:pPr>
                              <w:spacing w:before="120" w:line="300" w:lineRule="exact"/>
                              <w:rPr>
                                <w:rFonts w:cs="Arial"/>
                                <w:sz w:val="20"/>
                                <w:szCs w:val="20"/>
                              </w:rPr>
                            </w:pPr>
                          </w:p>
                          <w:p w14:paraId="01A70F51" w14:textId="77777777" w:rsidR="00337141" w:rsidRDefault="00337141" w:rsidP="00601324">
                            <w:pPr>
                              <w:spacing w:before="120" w:line="300" w:lineRule="exact"/>
                              <w:rPr>
                                <w:rFonts w:cs="Arial"/>
                                <w:sz w:val="20"/>
                                <w:szCs w:val="20"/>
                              </w:rPr>
                            </w:pPr>
                          </w:p>
                          <w:p w14:paraId="01033F1E" w14:textId="77777777" w:rsidR="00337141" w:rsidRDefault="00337141" w:rsidP="00601324">
                            <w:pPr>
                              <w:spacing w:before="120" w:line="300" w:lineRule="exact"/>
                              <w:rPr>
                                <w:rFonts w:cs="Arial"/>
                                <w:sz w:val="20"/>
                                <w:szCs w:val="20"/>
                              </w:rPr>
                            </w:pPr>
                          </w:p>
                          <w:p w14:paraId="74990736" w14:textId="77777777" w:rsidR="00337141" w:rsidRDefault="00337141" w:rsidP="00601324">
                            <w:pPr>
                              <w:spacing w:before="120" w:line="300" w:lineRule="exact"/>
                              <w:rPr>
                                <w:rFonts w:cs="Arial"/>
                                <w:sz w:val="20"/>
                                <w:szCs w:val="20"/>
                              </w:rPr>
                            </w:pPr>
                          </w:p>
                          <w:p w14:paraId="2DB6997D" w14:textId="77777777" w:rsidR="00337141" w:rsidRPr="00601324" w:rsidRDefault="00337141" w:rsidP="00601324">
                            <w:pPr>
                              <w:spacing w:before="120" w:line="300" w:lineRule="exact"/>
                              <w:rPr>
                                <w:rFonts w:cs="Arial"/>
                                <w:sz w:val="20"/>
                                <w:szCs w:val="20"/>
                              </w:rPr>
                            </w:pPr>
                          </w:p>
                          <w:p w14:paraId="512B2D19" w14:textId="77777777" w:rsidR="00337141" w:rsidRPr="003424FD" w:rsidRDefault="00337141" w:rsidP="00F939DA">
                            <w:pPr>
                              <w:pStyle w:val="11"/>
                              <w:suppressAutoHyphens w:val="0"/>
                              <w:spacing w:line="300" w:lineRule="exact"/>
                              <w:ind w:left="2970"/>
                              <w:textAlignment w:val="auto"/>
                              <w:rPr>
                                <w:sz w:val="20"/>
                                <w:szCs w:val="17"/>
                                <w:lang w:val="el-GR"/>
                              </w:rPr>
                            </w:pPr>
                          </w:p>
                          <w:p w14:paraId="006DE603" w14:textId="77777777" w:rsidR="00337141" w:rsidRPr="003424FD" w:rsidRDefault="00337141" w:rsidP="003A4DAD">
                            <w:pPr>
                              <w:spacing w:before="120"/>
                              <w:jc w:val="center"/>
                            </w:pPr>
                          </w:p>
                          <w:p w14:paraId="131DB0F9" w14:textId="77777777" w:rsidR="00337141" w:rsidRPr="003424FD" w:rsidRDefault="00337141" w:rsidP="003A4DAD">
                            <w:pPr>
                              <w:pStyle w:val="ListParagraph"/>
                              <w:spacing w:line="288" w:lineRule="auto"/>
                              <w:ind w:left="572"/>
                              <w:contextualSpacing w:val="0"/>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9EFB" id="_x0000_s1029" style="position:absolute;left:0;text-align:left;margin-left:-17.6pt;margin-top:40.5pt;width:571.15pt;height:565.1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" fillcolor="#e6e6e1" stroked="f">
                <o:lock v:ext="edit" aspectratio="t"/>
                <v:textbox>
                  <w:txbxContent>
                    <w:p w14:paraId="40EDEBDE" w14:textId="77777777" w:rsidR="00337141" w:rsidRDefault="00337141" w:rsidP="00C1355C">
                      <w:pPr>
                        <w:ind w:left="2520"/>
                        <w:jc w:val="center"/>
                        <w:rPr>
                          <w:lang w:val="en-US"/>
                        </w:rPr>
                      </w:pPr>
                    </w:p>
                    <w:p w14:paraId="027E80DD" w14:textId="1C5C9C96" w:rsidR="00337141" w:rsidRPr="00C23ED9" w:rsidRDefault="00337141" w:rsidP="00C1355C">
                      <w:pPr>
                        <w:spacing w:after="120" w:line="264" w:lineRule="auto"/>
                        <w:ind w:left="2520"/>
                        <w:rPr>
                          <w:rFonts w:eastAsia="Times New Roman" w:cs="Calibri"/>
                          <w:b/>
                          <w:color w:val="6691AB"/>
                          <w:sz w:val="20"/>
                          <w:szCs w:val="20"/>
                        </w:rPr>
                      </w:pPr>
                      <w:r>
                        <w:rPr>
                          <w:rFonts w:eastAsia="Times New Roman" w:cs="Calibri"/>
                          <w:b/>
                          <w:color w:val="6691AB"/>
                          <w:sz w:val="20"/>
                          <w:szCs w:val="20"/>
                        </w:rPr>
                        <w:t xml:space="preserve">Κατοχύρωση κερδών €0,4 </w:t>
                      </w:r>
                      <w:r w:rsidR="009979CE">
                        <w:rPr>
                          <w:rFonts w:eastAsia="Times New Roman" w:cs="Calibri"/>
                          <w:b/>
                          <w:color w:val="6691AB"/>
                          <w:sz w:val="20"/>
                          <w:szCs w:val="20"/>
                        </w:rPr>
                        <w:t>δισ.</w:t>
                      </w:r>
                      <w:r>
                        <w:rPr>
                          <w:rFonts w:eastAsia="Times New Roman" w:cs="Calibri"/>
                          <w:b/>
                          <w:color w:val="6691AB"/>
                          <w:sz w:val="20"/>
                          <w:szCs w:val="20"/>
                        </w:rPr>
                        <w:t xml:space="preserve"> από χαρτοφυλάκια χρεογράφων το </w:t>
                      </w:r>
                      <w:r w:rsidRPr="00E55B87">
                        <w:rPr>
                          <w:rFonts w:eastAsia="Times New Roman" w:cs="Calibri"/>
                          <w:b/>
                          <w:color w:val="6691AB"/>
                          <w:sz w:val="20"/>
                          <w:szCs w:val="20"/>
                        </w:rPr>
                        <w:t>1</w:t>
                      </w:r>
                      <w:r>
                        <w:rPr>
                          <w:rFonts w:eastAsia="Times New Roman" w:cs="Calibri"/>
                          <w:b/>
                          <w:color w:val="6691AB"/>
                          <w:sz w:val="20"/>
                          <w:szCs w:val="20"/>
                          <w:lang w:val="en-US"/>
                        </w:rPr>
                        <w:t>o</w:t>
                      </w:r>
                      <w:r w:rsidRPr="00E55B87">
                        <w:rPr>
                          <w:rFonts w:eastAsia="Times New Roman" w:cs="Calibri"/>
                          <w:b/>
                          <w:color w:val="6691AB"/>
                          <w:sz w:val="20"/>
                          <w:szCs w:val="20"/>
                        </w:rPr>
                        <w:t xml:space="preserve"> 3</w:t>
                      </w:r>
                      <w:r>
                        <w:rPr>
                          <w:rFonts w:eastAsia="Times New Roman" w:cs="Calibri"/>
                          <w:b/>
                          <w:color w:val="6691AB"/>
                          <w:sz w:val="20"/>
                          <w:szCs w:val="20"/>
                        </w:rPr>
                        <w:t>μηνο 2021</w:t>
                      </w:r>
                    </w:p>
                    <w:p w14:paraId="4A225043" w14:textId="1DDB3192" w:rsidR="00337141" w:rsidRPr="00120BAB" w:rsidRDefault="00337141" w:rsidP="00C1355C">
                      <w:pPr>
                        <w:pStyle w:val="11"/>
                        <w:numPr>
                          <w:ilvl w:val="0"/>
                          <w:numId w:val="15"/>
                        </w:numPr>
                        <w:suppressAutoHyphens w:val="0"/>
                        <w:spacing w:line="300" w:lineRule="exact"/>
                        <w:ind w:left="2880"/>
                        <w:textAlignment w:val="auto"/>
                        <w:rPr>
                          <w:rFonts w:cs="Calibri"/>
                          <w:sz w:val="20"/>
                          <w:szCs w:val="17"/>
                          <w:lang w:val="el-GR"/>
                        </w:rPr>
                      </w:pPr>
                      <w:r>
                        <w:rPr>
                          <w:rFonts w:cs="Calibri"/>
                          <w:sz w:val="20"/>
                          <w:szCs w:val="17"/>
                          <w:lang w:val="el-GR"/>
                        </w:rPr>
                        <w:t xml:space="preserve">Κέρδη από χαρτοφυλάκιο ομολόγων Ελληνικού Δημοσίου έχουν ήδη πραγματοποιηθεί το 1ο 3μηνο του 2021 – €0,2 </w:t>
                      </w:r>
                      <w:r w:rsidR="009979CE">
                        <w:rPr>
                          <w:rFonts w:cs="Calibri"/>
                          <w:sz w:val="20"/>
                          <w:szCs w:val="17"/>
                          <w:lang w:val="el-GR"/>
                        </w:rPr>
                        <w:t>δισ.</w:t>
                      </w:r>
                      <w:r>
                        <w:rPr>
                          <w:rFonts w:cs="Calibri"/>
                          <w:sz w:val="20"/>
                          <w:szCs w:val="17"/>
                          <w:lang w:val="el-GR"/>
                        </w:rPr>
                        <w:t xml:space="preserve"> κεφαλαιακό κέρδος</w:t>
                      </w:r>
                    </w:p>
                    <w:p w14:paraId="216DFA1A" w14:textId="6A1210CA" w:rsidR="00337141" w:rsidRPr="00906346" w:rsidRDefault="00337141" w:rsidP="00C1355C">
                      <w:pPr>
                        <w:pStyle w:val="11"/>
                        <w:numPr>
                          <w:ilvl w:val="0"/>
                          <w:numId w:val="15"/>
                        </w:numPr>
                        <w:suppressAutoHyphens w:val="0"/>
                        <w:spacing w:line="300" w:lineRule="exact"/>
                        <w:ind w:left="2880"/>
                        <w:textAlignment w:val="auto"/>
                        <w:rPr>
                          <w:sz w:val="20"/>
                          <w:szCs w:val="17"/>
                          <w:lang w:val="el-GR"/>
                        </w:rPr>
                      </w:pPr>
                      <w:r>
                        <w:rPr>
                          <w:rStyle w:val="10"/>
                          <w:sz w:val="20"/>
                          <w:szCs w:val="17"/>
                          <w:lang w:val="el-GR"/>
                        </w:rPr>
                        <w:t xml:space="preserve">Επιπλέον κέρδη από εμπορικές συναλλαγές επί κρατικών ομολόγων που έχουν ήδη πραγματοποιηθεί το </w:t>
                      </w:r>
                      <w:r>
                        <w:rPr>
                          <w:rFonts w:cs="Calibri"/>
                          <w:sz w:val="20"/>
                          <w:szCs w:val="17"/>
                          <w:lang w:val="el-GR"/>
                        </w:rPr>
                        <w:t xml:space="preserve">1ο 3μηνο του 2021 </w:t>
                      </w:r>
                      <w:r w:rsidR="007001C9">
                        <w:rPr>
                          <w:rFonts w:cs="Calibri"/>
                          <w:sz w:val="20"/>
                          <w:szCs w:val="17"/>
                          <w:lang w:val="el-GR"/>
                        </w:rPr>
                        <w:t>–</w:t>
                      </w:r>
                      <w:r>
                        <w:rPr>
                          <w:rFonts w:cs="Calibri"/>
                          <w:sz w:val="20"/>
                          <w:szCs w:val="17"/>
                          <w:lang w:val="el-GR"/>
                        </w:rPr>
                        <w:t xml:space="preserve"> €0,2 </w:t>
                      </w:r>
                      <w:r w:rsidR="009979CE">
                        <w:rPr>
                          <w:rFonts w:cs="Calibri"/>
                          <w:sz w:val="20"/>
                          <w:szCs w:val="17"/>
                          <w:lang w:val="el-GR"/>
                        </w:rPr>
                        <w:t>δισ.</w:t>
                      </w:r>
                      <w:r>
                        <w:rPr>
                          <w:rFonts w:cs="Calibri"/>
                          <w:sz w:val="20"/>
                          <w:szCs w:val="17"/>
                          <w:lang w:val="el-GR"/>
                        </w:rPr>
                        <w:t xml:space="preserve"> κεφαλαιακό κέρδος</w:t>
                      </w:r>
                    </w:p>
                    <w:p w14:paraId="1320872C" w14:textId="77777777" w:rsidR="00337141" w:rsidRPr="00906346" w:rsidRDefault="00337141" w:rsidP="00C1355C">
                      <w:pPr>
                        <w:pStyle w:val="11"/>
                        <w:suppressAutoHyphens w:val="0"/>
                        <w:spacing w:line="300" w:lineRule="exact"/>
                        <w:ind w:left="2520"/>
                        <w:textAlignment w:val="auto"/>
                        <w:rPr>
                          <w:sz w:val="20"/>
                          <w:szCs w:val="17"/>
                          <w:lang w:val="el-GR"/>
                        </w:rPr>
                      </w:pPr>
                    </w:p>
                    <w:p w14:paraId="61EE60A6" w14:textId="585F7893" w:rsidR="00337141" w:rsidRPr="00906346" w:rsidRDefault="00337141" w:rsidP="00C1355C">
                      <w:pPr>
                        <w:pStyle w:val="11"/>
                        <w:suppressAutoHyphens w:val="0"/>
                        <w:spacing w:after="120" w:line="300" w:lineRule="exact"/>
                        <w:ind w:left="2520"/>
                        <w:textAlignment w:val="auto"/>
                        <w:rPr>
                          <w:rStyle w:val="10"/>
                          <w:sz w:val="20"/>
                          <w:szCs w:val="17"/>
                          <w:lang w:val="el-GR"/>
                        </w:rPr>
                      </w:pPr>
                      <w:r>
                        <w:rPr>
                          <w:rFonts w:eastAsia="Times New Roman" w:cs="Calibri"/>
                          <w:b/>
                          <w:color w:val="6691AB"/>
                          <w:sz w:val="20"/>
                          <w:szCs w:val="20"/>
                          <w:lang w:val="el-GR"/>
                        </w:rPr>
                        <w:t xml:space="preserve">Απόσχιση και πώληση της υπηρεσίας αποδοχής καρτών με τίμημα €0,3 </w:t>
                      </w:r>
                      <w:r w:rsidR="009979CE">
                        <w:rPr>
                          <w:rFonts w:eastAsia="Times New Roman" w:cs="Calibri"/>
                          <w:b/>
                          <w:color w:val="6691AB"/>
                          <w:sz w:val="20"/>
                          <w:szCs w:val="20"/>
                          <w:lang w:val="el-GR"/>
                        </w:rPr>
                        <w:t>δισ.</w:t>
                      </w:r>
                    </w:p>
                    <w:p w14:paraId="10FEACF4" w14:textId="77777777" w:rsidR="00337141" w:rsidRPr="00906346"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Η πρώτη ελληνική τράπεζα που υλοποιεί τέτοια συναλλαγή, ακολουθώντας τη βέλτιστη διεθνή πρακτική</w:t>
                      </w:r>
                    </w:p>
                    <w:p w14:paraId="153DCEA8" w14:textId="77777777" w:rsidR="00337141" w:rsidRPr="00477265"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rFonts w:cs="Calibri"/>
                          <w:sz w:val="20"/>
                          <w:szCs w:val="17"/>
                          <w:lang w:val="el-GR"/>
                        </w:rPr>
                        <w:t>Απόσχιση της πλατφόρμας αποδοχής καρτών, με ηγετική θέση στην αγορά με μερίδιο άνω του 20% και πάνω από 170 χιλιάδες εμπόρους, ισχυρή παρουσία στις ΜΜΕ και το ηλεκτρονικό εμπόριο</w:t>
                      </w:r>
                    </w:p>
                    <w:p w14:paraId="7F2DB77A" w14:textId="1E4285C9" w:rsidR="00337141" w:rsidRPr="00477265"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rFonts w:cs="Calibri"/>
                          <w:sz w:val="20"/>
                          <w:szCs w:val="17"/>
                          <w:lang w:val="el-GR"/>
                        </w:rPr>
                        <w:t xml:space="preserve">Μακροχρόνια </w:t>
                      </w:r>
                      <w:r w:rsidR="005C652A">
                        <w:rPr>
                          <w:rStyle w:val="10"/>
                          <w:rFonts w:cs="Calibri"/>
                          <w:sz w:val="20"/>
                          <w:szCs w:val="17"/>
                          <w:lang w:val="el-GR"/>
                        </w:rPr>
                        <w:t xml:space="preserve">αποκλειστική </w:t>
                      </w:r>
                      <w:r>
                        <w:rPr>
                          <w:rStyle w:val="10"/>
                          <w:rFonts w:cs="Calibri"/>
                          <w:sz w:val="20"/>
                          <w:szCs w:val="17"/>
                          <w:lang w:val="el-GR"/>
                        </w:rPr>
                        <w:t xml:space="preserve">εμπορική συνεργασία με την </w:t>
                      </w:r>
                      <w:proofErr w:type="spellStart"/>
                      <w:r>
                        <w:rPr>
                          <w:rStyle w:val="10"/>
                          <w:rFonts w:cs="Calibri"/>
                          <w:sz w:val="20"/>
                          <w:szCs w:val="17"/>
                        </w:rPr>
                        <w:t>Euronet</w:t>
                      </w:r>
                      <w:proofErr w:type="spellEnd"/>
                      <w:r w:rsidR="00702745" w:rsidRPr="00702745">
                        <w:rPr>
                          <w:rStyle w:val="10"/>
                          <w:rFonts w:cs="Calibri"/>
                          <w:sz w:val="20"/>
                          <w:szCs w:val="17"/>
                          <w:lang w:val="el-GR"/>
                        </w:rPr>
                        <w:t xml:space="preserve"> </w:t>
                      </w:r>
                      <w:r w:rsidR="00702745">
                        <w:rPr>
                          <w:rStyle w:val="10"/>
                          <w:rFonts w:cs="Calibri"/>
                          <w:sz w:val="20"/>
                          <w:szCs w:val="17"/>
                        </w:rPr>
                        <w:t>Worldwide</w:t>
                      </w:r>
                    </w:p>
                    <w:p w14:paraId="17E4C938" w14:textId="77777777" w:rsidR="00337141" w:rsidRDefault="00337141" w:rsidP="00C1355C">
                      <w:pPr>
                        <w:pStyle w:val="11"/>
                        <w:numPr>
                          <w:ilvl w:val="0"/>
                          <w:numId w:val="15"/>
                        </w:numPr>
                        <w:suppressAutoHyphens w:val="0"/>
                        <w:spacing w:line="300" w:lineRule="exact"/>
                        <w:ind w:left="2880"/>
                        <w:textAlignment w:val="auto"/>
                        <w:rPr>
                          <w:sz w:val="20"/>
                          <w:szCs w:val="17"/>
                          <w:lang w:val="el-GR"/>
                        </w:rPr>
                      </w:pPr>
                      <w:r>
                        <w:rPr>
                          <w:sz w:val="20"/>
                          <w:szCs w:val="17"/>
                          <w:lang w:val="el-GR"/>
                        </w:rPr>
                        <w:t>Υπογραφή δεσμευτικής συμφωνίας στις 16 Μαρτίου 2021</w:t>
                      </w:r>
                    </w:p>
                    <w:p w14:paraId="3F083399" w14:textId="0EB0B913" w:rsidR="00337141" w:rsidRDefault="00337141" w:rsidP="00C1355C">
                      <w:pPr>
                        <w:pStyle w:val="11"/>
                        <w:numPr>
                          <w:ilvl w:val="0"/>
                          <w:numId w:val="15"/>
                        </w:numPr>
                        <w:suppressAutoHyphens w:val="0"/>
                        <w:spacing w:line="300" w:lineRule="exact"/>
                        <w:ind w:left="2880"/>
                        <w:textAlignment w:val="auto"/>
                        <w:rPr>
                          <w:sz w:val="20"/>
                          <w:szCs w:val="17"/>
                          <w:lang w:val="el-GR"/>
                        </w:rPr>
                      </w:pPr>
                      <w:r>
                        <w:rPr>
                          <w:sz w:val="20"/>
                          <w:szCs w:val="17"/>
                          <w:lang w:val="el-GR"/>
                        </w:rPr>
                        <w:t>Το τίμημα της</w:t>
                      </w:r>
                      <w:r w:rsidR="00C37475">
                        <w:rPr>
                          <w:sz w:val="20"/>
                          <w:szCs w:val="17"/>
                          <w:lang w:val="el-GR"/>
                        </w:rPr>
                        <w:t xml:space="preserve"> συναλλαγής διαμορφώνεται σε €0,</w:t>
                      </w:r>
                      <w:r>
                        <w:rPr>
                          <w:sz w:val="20"/>
                          <w:szCs w:val="17"/>
                          <w:lang w:val="el-GR"/>
                        </w:rPr>
                        <w:t>3</w:t>
                      </w:r>
                      <w:r w:rsidR="009979CE">
                        <w:rPr>
                          <w:sz w:val="20"/>
                          <w:szCs w:val="17"/>
                          <w:lang w:val="el-GR"/>
                        </w:rPr>
                        <w:t>δισ.</w:t>
                      </w:r>
                    </w:p>
                    <w:p w14:paraId="38B04EA6" w14:textId="77777777" w:rsidR="00337141" w:rsidRDefault="00337141" w:rsidP="00C1355C">
                      <w:pPr>
                        <w:spacing w:after="0" w:line="300" w:lineRule="exact"/>
                        <w:ind w:left="2520"/>
                        <w:rPr>
                          <w:rFonts w:eastAsia="Times New Roman" w:cs="Calibri"/>
                          <w:b/>
                          <w:color w:val="3A73AE" w:themeColor="accent1"/>
                          <w:sz w:val="28"/>
                          <w:szCs w:val="28"/>
                        </w:rPr>
                      </w:pPr>
                    </w:p>
                    <w:p w14:paraId="5EC5F684" w14:textId="3BFFE393" w:rsidR="00337141" w:rsidRDefault="005C652A" w:rsidP="00C1355C">
                      <w:pPr>
                        <w:spacing w:after="120" w:line="300" w:lineRule="exact"/>
                        <w:ind w:left="2520"/>
                        <w:rPr>
                          <w:rFonts w:eastAsia="Times New Roman" w:cs="Calibri"/>
                          <w:b/>
                          <w:color w:val="3A73AE" w:themeColor="accent1"/>
                          <w:sz w:val="28"/>
                          <w:szCs w:val="28"/>
                        </w:rPr>
                      </w:pPr>
                      <w:r>
                        <w:rPr>
                          <w:rFonts w:eastAsia="Times New Roman" w:cs="Calibri"/>
                          <w:b/>
                          <w:color w:val="6691AB"/>
                          <w:sz w:val="20"/>
                          <w:szCs w:val="20"/>
                        </w:rPr>
                        <w:t>Συνθετικές</w:t>
                      </w:r>
                      <w:r w:rsidR="00337141">
                        <w:rPr>
                          <w:rFonts w:eastAsia="Times New Roman" w:cs="Calibri"/>
                          <w:b/>
                          <w:color w:val="6691AB"/>
                          <w:sz w:val="20"/>
                          <w:szCs w:val="20"/>
                        </w:rPr>
                        <w:t xml:space="preserve"> </w:t>
                      </w:r>
                      <w:proofErr w:type="spellStart"/>
                      <w:r w:rsidR="00337141">
                        <w:rPr>
                          <w:rFonts w:eastAsia="Times New Roman" w:cs="Calibri"/>
                          <w:b/>
                          <w:color w:val="6691AB"/>
                          <w:sz w:val="20"/>
                          <w:szCs w:val="20"/>
                        </w:rPr>
                        <w:t>τιτλοπ</w:t>
                      </w:r>
                      <w:r>
                        <w:rPr>
                          <w:rFonts w:eastAsia="Times New Roman" w:cs="Calibri"/>
                          <w:b/>
                          <w:color w:val="6691AB"/>
                          <w:sz w:val="20"/>
                          <w:szCs w:val="20"/>
                        </w:rPr>
                        <w:t>οιήσεις</w:t>
                      </w:r>
                      <w:proofErr w:type="spellEnd"/>
                      <w:r w:rsidR="00337141">
                        <w:rPr>
                          <w:rFonts w:eastAsia="Times New Roman" w:cs="Calibri"/>
                          <w:b/>
                          <w:color w:val="6691AB"/>
                          <w:sz w:val="20"/>
                          <w:szCs w:val="20"/>
                        </w:rPr>
                        <w:t xml:space="preserve"> με προσδοκώμενη θετική κεφαλαιακή επίπτωση €0,3 </w:t>
                      </w:r>
                      <w:r w:rsidR="009979CE">
                        <w:rPr>
                          <w:rFonts w:eastAsia="Times New Roman" w:cs="Calibri"/>
                          <w:b/>
                          <w:color w:val="6691AB"/>
                          <w:sz w:val="20"/>
                          <w:szCs w:val="20"/>
                        </w:rPr>
                        <w:t>δισ.</w:t>
                      </w:r>
                    </w:p>
                    <w:p w14:paraId="6B8F1957" w14:textId="2ACE1527" w:rsidR="00337141"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Πρωτοποριακή συναλλαγή για την ελληνική αγορά</w:t>
                      </w:r>
                    </w:p>
                    <w:p w14:paraId="6BCC1451" w14:textId="3722CD1F" w:rsidR="00337141"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Η συναλλαγή αφορά σε αγορά ασφαλίστρου προστασίας έναντι πιστωτικών ζημιών από ιδιώτες επενδυτές σε επιλεγμένα χαρτοφυλάκια ενήμερων δανείων</w:t>
                      </w:r>
                    </w:p>
                    <w:p w14:paraId="0F344F0E" w14:textId="508AE9C9" w:rsidR="00337141"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lang w:val="el-GR"/>
                        </w:rPr>
                        <w:t xml:space="preserve">Στόχος η </w:t>
                      </w:r>
                      <w:proofErr w:type="spellStart"/>
                      <w:r>
                        <w:rPr>
                          <w:rStyle w:val="10"/>
                          <w:sz w:val="20"/>
                          <w:szCs w:val="17"/>
                          <w:lang w:val="el-GR"/>
                        </w:rPr>
                        <w:t>τιτλοποίηση</w:t>
                      </w:r>
                      <w:proofErr w:type="spellEnd"/>
                      <w:r>
                        <w:rPr>
                          <w:rStyle w:val="10"/>
                          <w:sz w:val="20"/>
                          <w:szCs w:val="17"/>
                          <w:lang w:val="el-GR"/>
                        </w:rPr>
                        <w:t xml:space="preserve"> </w:t>
                      </w:r>
                      <w:r w:rsidR="00EC3ABA">
                        <w:rPr>
                          <w:rStyle w:val="10"/>
                          <w:sz w:val="20"/>
                          <w:szCs w:val="17"/>
                          <w:lang w:val="el-GR"/>
                        </w:rPr>
                        <w:t xml:space="preserve">χαρτοφυλακίων </w:t>
                      </w:r>
                      <w:r>
                        <w:rPr>
                          <w:rStyle w:val="10"/>
                          <w:sz w:val="20"/>
                          <w:szCs w:val="17"/>
                          <w:lang w:val="el-GR"/>
                        </w:rPr>
                        <w:t xml:space="preserve">€2 </w:t>
                      </w:r>
                      <w:r w:rsidR="009979CE">
                        <w:rPr>
                          <w:rStyle w:val="10"/>
                          <w:sz w:val="20"/>
                          <w:szCs w:val="17"/>
                          <w:lang w:val="el-GR"/>
                        </w:rPr>
                        <w:t>δισ.</w:t>
                      </w:r>
                      <w:r>
                        <w:rPr>
                          <w:rStyle w:val="10"/>
                          <w:sz w:val="20"/>
                          <w:szCs w:val="17"/>
                          <w:lang w:val="el-GR"/>
                        </w:rPr>
                        <w:t xml:space="preserve"> Σταθμισμένου Έναντι Κινδύνων Ενεργητικού (</w:t>
                      </w:r>
                      <w:r>
                        <w:rPr>
                          <w:rStyle w:val="10"/>
                          <w:sz w:val="20"/>
                          <w:szCs w:val="17"/>
                        </w:rPr>
                        <w:t>RWA</w:t>
                      </w:r>
                      <w:r>
                        <w:rPr>
                          <w:rStyle w:val="10"/>
                          <w:sz w:val="20"/>
                          <w:szCs w:val="17"/>
                          <w:lang w:val="el-GR"/>
                        </w:rPr>
                        <w:t>) σε δύο διακριτές συναλλαγές</w:t>
                      </w:r>
                    </w:p>
                    <w:p w14:paraId="64C987A7" w14:textId="71704AA7" w:rsidR="00337141" w:rsidRPr="000955E1" w:rsidRDefault="00337141" w:rsidP="00C1355C">
                      <w:pPr>
                        <w:pStyle w:val="11"/>
                        <w:numPr>
                          <w:ilvl w:val="0"/>
                          <w:numId w:val="15"/>
                        </w:numPr>
                        <w:suppressAutoHyphens w:val="0"/>
                        <w:spacing w:line="300" w:lineRule="exact"/>
                        <w:ind w:left="2880"/>
                        <w:textAlignment w:val="auto"/>
                        <w:rPr>
                          <w:sz w:val="20"/>
                          <w:szCs w:val="17"/>
                          <w:lang w:val="el-GR"/>
                        </w:rPr>
                      </w:pPr>
                      <w:r>
                        <w:rPr>
                          <w:rStyle w:val="10"/>
                          <w:sz w:val="20"/>
                          <w:szCs w:val="17"/>
                          <w:lang w:val="el-GR"/>
                        </w:rPr>
                        <w:t xml:space="preserve">Για την 1η συναλλαγή ύψους €0,8 </w:t>
                      </w:r>
                      <w:r w:rsidR="009979CE">
                        <w:rPr>
                          <w:rStyle w:val="10"/>
                          <w:sz w:val="20"/>
                          <w:szCs w:val="17"/>
                          <w:lang w:val="el-GR"/>
                        </w:rPr>
                        <w:t>δισ.</w:t>
                      </w:r>
                      <w:r>
                        <w:rPr>
                          <w:rStyle w:val="10"/>
                          <w:sz w:val="20"/>
                          <w:szCs w:val="17"/>
                          <w:lang w:val="el-GR"/>
                        </w:rPr>
                        <w:t xml:space="preserve"> </w:t>
                      </w:r>
                      <w:r>
                        <w:rPr>
                          <w:rStyle w:val="10"/>
                          <w:sz w:val="20"/>
                          <w:szCs w:val="17"/>
                        </w:rPr>
                        <w:t>RWA</w:t>
                      </w:r>
                      <w:r>
                        <w:rPr>
                          <w:rStyle w:val="10"/>
                          <w:sz w:val="20"/>
                          <w:szCs w:val="17"/>
                          <w:lang w:val="el-GR"/>
                        </w:rPr>
                        <w:t>,</w:t>
                      </w:r>
                      <w:r w:rsidRPr="000955E1">
                        <w:rPr>
                          <w:rStyle w:val="10"/>
                          <w:sz w:val="20"/>
                          <w:szCs w:val="17"/>
                          <w:lang w:val="el-GR"/>
                        </w:rPr>
                        <w:t xml:space="preserve"> </w:t>
                      </w:r>
                      <w:r>
                        <w:rPr>
                          <w:rStyle w:val="10"/>
                          <w:sz w:val="20"/>
                          <w:szCs w:val="17"/>
                          <w:lang w:val="el-GR"/>
                        </w:rPr>
                        <w:t xml:space="preserve">υπεγράφη συμφωνία στις 11 Μαρτίου 2021 με την </w:t>
                      </w:r>
                      <w:r w:rsidRPr="00D543DE">
                        <w:rPr>
                          <w:rFonts w:cs="Calibri"/>
                          <w:bCs/>
                          <w:sz w:val="20"/>
                          <w:szCs w:val="18"/>
                        </w:rPr>
                        <w:t>C</w:t>
                      </w:r>
                      <w:r>
                        <w:rPr>
                          <w:rFonts w:cs="Calibri"/>
                          <w:bCs/>
                          <w:sz w:val="20"/>
                          <w:szCs w:val="18"/>
                        </w:rPr>
                        <w:t>hristofferson</w:t>
                      </w:r>
                      <w:r w:rsidRPr="000955E1">
                        <w:rPr>
                          <w:rFonts w:cs="Calibri"/>
                          <w:bCs/>
                          <w:sz w:val="20"/>
                          <w:szCs w:val="18"/>
                          <w:lang w:val="el-GR"/>
                        </w:rPr>
                        <w:t xml:space="preserve"> </w:t>
                      </w:r>
                      <w:r w:rsidRPr="00D543DE">
                        <w:rPr>
                          <w:rFonts w:cs="Calibri"/>
                          <w:bCs/>
                          <w:sz w:val="20"/>
                          <w:szCs w:val="18"/>
                        </w:rPr>
                        <w:t>R</w:t>
                      </w:r>
                      <w:r>
                        <w:rPr>
                          <w:rFonts w:cs="Calibri"/>
                          <w:bCs/>
                          <w:sz w:val="20"/>
                          <w:szCs w:val="18"/>
                        </w:rPr>
                        <w:t>obb</w:t>
                      </w:r>
                      <w:r w:rsidRPr="000955E1">
                        <w:rPr>
                          <w:rFonts w:cs="Calibri"/>
                          <w:bCs/>
                          <w:sz w:val="20"/>
                          <w:szCs w:val="18"/>
                          <w:lang w:val="el-GR"/>
                        </w:rPr>
                        <w:t xml:space="preserve"> &amp; </w:t>
                      </w:r>
                      <w:r w:rsidRPr="00D543DE">
                        <w:rPr>
                          <w:rFonts w:cs="Calibri"/>
                          <w:bCs/>
                          <w:sz w:val="20"/>
                          <w:szCs w:val="18"/>
                        </w:rPr>
                        <w:t>C</w:t>
                      </w:r>
                      <w:r>
                        <w:rPr>
                          <w:rFonts w:cs="Calibri"/>
                          <w:bCs/>
                          <w:sz w:val="20"/>
                          <w:szCs w:val="18"/>
                        </w:rPr>
                        <w:t>ompany</w:t>
                      </w:r>
                      <w:r w:rsidRPr="000955E1">
                        <w:rPr>
                          <w:rFonts w:cs="Calibri"/>
                          <w:bCs/>
                          <w:sz w:val="20"/>
                          <w:szCs w:val="18"/>
                          <w:lang w:val="el-GR"/>
                        </w:rPr>
                        <w:t xml:space="preserve"> (“</w:t>
                      </w:r>
                      <w:r>
                        <w:rPr>
                          <w:rFonts w:cs="Calibri"/>
                          <w:bCs/>
                          <w:sz w:val="20"/>
                          <w:szCs w:val="18"/>
                        </w:rPr>
                        <w:t>CRC</w:t>
                      </w:r>
                      <w:r w:rsidRPr="000955E1">
                        <w:rPr>
                          <w:rFonts w:cs="Calibri"/>
                          <w:bCs/>
                          <w:sz w:val="20"/>
                          <w:szCs w:val="18"/>
                          <w:lang w:val="el-GR"/>
                        </w:rPr>
                        <w:t>”)</w:t>
                      </w:r>
                      <w:r>
                        <w:rPr>
                          <w:rFonts w:cs="Calibri"/>
                          <w:bCs/>
                          <w:sz w:val="20"/>
                          <w:szCs w:val="18"/>
                          <w:lang w:val="el-GR"/>
                        </w:rPr>
                        <w:t xml:space="preserve">. Η 2η συναλλαγή ύψους €1,2 </w:t>
                      </w:r>
                      <w:r w:rsidR="009979CE">
                        <w:rPr>
                          <w:rFonts w:cs="Calibri"/>
                          <w:bCs/>
                          <w:sz w:val="20"/>
                          <w:szCs w:val="18"/>
                          <w:lang w:val="el-GR"/>
                        </w:rPr>
                        <w:t>δισ.</w:t>
                      </w:r>
                      <w:r>
                        <w:rPr>
                          <w:rFonts w:cs="Calibri"/>
                          <w:bCs/>
                          <w:sz w:val="20"/>
                          <w:szCs w:val="18"/>
                          <w:lang w:val="el-GR"/>
                        </w:rPr>
                        <w:t xml:space="preserve"> προγραμματίζεται για το τέλος του 2021</w:t>
                      </w:r>
                    </w:p>
                    <w:p w14:paraId="2265FB05" w14:textId="244D6E48" w:rsidR="00337141" w:rsidRPr="00906346" w:rsidRDefault="00337141" w:rsidP="00C1355C">
                      <w:pPr>
                        <w:pStyle w:val="11"/>
                        <w:numPr>
                          <w:ilvl w:val="0"/>
                          <w:numId w:val="15"/>
                        </w:numPr>
                        <w:suppressAutoHyphens w:val="0"/>
                        <w:spacing w:line="300" w:lineRule="exact"/>
                        <w:ind w:left="2880"/>
                        <w:textAlignment w:val="auto"/>
                        <w:rPr>
                          <w:rStyle w:val="10"/>
                          <w:sz w:val="20"/>
                          <w:szCs w:val="17"/>
                          <w:lang w:val="el-GR"/>
                        </w:rPr>
                      </w:pPr>
                      <w:r>
                        <w:rPr>
                          <w:rStyle w:val="10"/>
                          <w:sz w:val="20"/>
                          <w:szCs w:val="17"/>
                        </w:rPr>
                        <w:t>H</w:t>
                      </w:r>
                      <w:r w:rsidRPr="000955E1">
                        <w:rPr>
                          <w:rStyle w:val="10"/>
                          <w:sz w:val="20"/>
                          <w:szCs w:val="17"/>
                          <w:lang w:val="el-GR"/>
                        </w:rPr>
                        <w:t xml:space="preserve"> </w:t>
                      </w:r>
                      <w:r>
                        <w:rPr>
                          <w:rStyle w:val="10"/>
                          <w:sz w:val="20"/>
                          <w:szCs w:val="17"/>
                          <w:lang w:val="el-GR"/>
                        </w:rPr>
                        <w:t>προσδοκώμενη θετική επίπτωση που προκύπτει στα κεφάλαια από την 1η συναλλαγή διαμορφώνεται σε €0</w:t>
                      </w:r>
                      <w:proofErr w:type="gramStart"/>
                      <w:r>
                        <w:rPr>
                          <w:rStyle w:val="10"/>
                          <w:sz w:val="20"/>
                          <w:szCs w:val="17"/>
                          <w:lang w:val="el-GR"/>
                        </w:rPr>
                        <w:t>,1</w:t>
                      </w:r>
                      <w:proofErr w:type="gramEnd"/>
                      <w:r>
                        <w:rPr>
                          <w:rStyle w:val="10"/>
                          <w:sz w:val="20"/>
                          <w:szCs w:val="17"/>
                          <w:lang w:val="el-GR"/>
                        </w:rPr>
                        <w:t xml:space="preserve"> </w:t>
                      </w:r>
                      <w:r w:rsidR="009979CE">
                        <w:rPr>
                          <w:rStyle w:val="10"/>
                          <w:sz w:val="20"/>
                          <w:szCs w:val="17"/>
                          <w:lang w:val="el-GR"/>
                        </w:rPr>
                        <w:t>δισ.</w:t>
                      </w:r>
                      <w:r>
                        <w:rPr>
                          <w:rStyle w:val="10"/>
                          <w:sz w:val="20"/>
                          <w:szCs w:val="17"/>
                          <w:lang w:val="el-GR"/>
                        </w:rPr>
                        <w:t xml:space="preserve">, ενώ αναμένεται να ανέλθει στα €0,3 </w:t>
                      </w:r>
                      <w:r w:rsidR="009979CE">
                        <w:rPr>
                          <w:rStyle w:val="10"/>
                          <w:sz w:val="20"/>
                          <w:szCs w:val="17"/>
                          <w:lang w:val="el-GR"/>
                        </w:rPr>
                        <w:t>δισ.</w:t>
                      </w:r>
                      <w:r>
                        <w:rPr>
                          <w:rStyle w:val="10"/>
                          <w:sz w:val="20"/>
                          <w:szCs w:val="17"/>
                          <w:lang w:val="el-GR"/>
                        </w:rPr>
                        <w:t xml:space="preserve"> με την ολοκλήρωση της 2ης συναλλαγής</w:t>
                      </w:r>
                    </w:p>
                    <w:p w14:paraId="3D5BB121" w14:textId="77777777" w:rsidR="00337141" w:rsidRDefault="00337141" w:rsidP="00601324">
                      <w:pPr>
                        <w:spacing w:before="120" w:line="300" w:lineRule="exact"/>
                        <w:rPr>
                          <w:rFonts w:cs="Arial"/>
                          <w:sz w:val="20"/>
                          <w:szCs w:val="20"/>
                        </w:rPr>
                      </w:pPr>
                    </w:p>
                    <w:p w14:paraId="01A70F51" w14:textId="77777777" w:rsidR="00337141" w:rsidRDefault="00337141" w:rsidP="00601324">
                      <w:pPr>
                        <w:spacing w:before="120" w:line="300" w:lineRule="exact"/>
                        <w:rPr>
                          <w:rFonts w:cs="Arial"/>
                          <w:sz w:val="20"/>
                          <w:szCs w:val="20"/>
                        </w:rPr>
                      </w:pPr>
                    </w:p>
                    <w:p w14:paraId="01033F1E" w14:textId="77777777" w:rsidR="00337141" w:rsidRDefault="00337141" w:rsidP="00601324">
                      <w:pPr>
                        <w:spacing w:before="120" w:line="300" w:lineRule="exact"/>
                        <w:rPr>
                          <w:rFonts w:cs="Arial"/>
                          <w:sz w:val="20"/>
                          <w:szCs w:val="20"/>
                        </w:rPr>
                      </w:pPr>
                    </w:p>
                    <w:p w14:paraId="74990736" w14:textId="77777777" w:rsidR="00337141" w:rsidRDefault="00337141" w:rsidP="00601324">
                      <w:pPr>
                        <w:spacing w:before="120" w:line="300" w:lineRule="exact"/>
                        <w:rPr>
                          <w:rFonts w:cs="Arial"/>
                          <w:sz w:val="20"/>
                          <w:szCs w:val="20"/>
                        </w:rPr>
                      </w:pPr>
                    </w:p>
                    <w:p w14:paraId="2DB6997D" w14:textId="77777777" w:rsidR="00337141" w:rsidRPr="00601324" w:rsidRDefault="00337141" w:rsidP="00601324">
                      <w:pPr>
                        <w:spacing w:before="120" w:line="300" w:lineRule="exact"/>
                        <w:rPr>
                          <w:rFonts w:cs="Arial"/>
                          <w:sz w:val="20"/>
                          <w:szCs w:val="20"/>
                        </w:rPr>
                      </w:pPr>
                    </w:p>
                    <w:p w14:paraId="512B2D19" w14:textId="77777777" w:rsidR="00337141" w:rsidRPr="003424FD" w:rsidRDefault="00337141" w:rsidP="00F939DA">
                      <w:pPr>
                        <w:pStyle w:val="11"/>
                        <w:suppressAutoHyphens w:val="0"/>
                        <w:spacing w:line="300" w:lineRule="exact"/>
                        <w:ind w:left="2970"/>
                        <w:textAlignment w:val="auto"/>
                        <w:rPr>
                          <w:sz w:val="20"/>
                          <w:szCs w:val="17"/>
                          <w:lang w:val="el-GR"/>
                        </w:rPr>
                      </w:pPr>
                    </w:p>
                    <w:p w14:paraId="006DE603" w14:textId="77777777" w:rsidR="00337141" w:rsidRPr="003424FD" w:rsidRDefault="00337141" w:rsidP="003A4DAD">
                      <w:pPr>
                        <w:spacing w:before="120"/>
                        <w:jc w:val="center"/>
                      </w:pPr>
                    </w:p>
                    <w:p w14:paraId="131DB0F9" w14:textId="77777777" w:rsidR="00337141" w:rsidRPr="003424FD" w:rsidRDefault="00337141" w:rsidP="003A4DAD">
                      <w:pPr>
                        <w:pStyle w:val="ListParagraph"/>
                        <w:spacing w:line="288" w:lineRule="auto"/>
                        <w:ind w:left="572"/>
                        <w:contextualSpacing w:val="0"/>
                        <w:rPr>
                          <w:lang w:val="el-GR"/>
                        </w:rPr>
                      </w:pPr>
                    </w:p>
                  </w:txbxContent>
                </v:textbox>
                <w10:wrap anchorx="page"/>
              </v:rect>
            </w:pict>
          </mc:Fallback>
        </mc:AlternateContent>
      </w:r>
      <w:r w:rsidRPr="007A419D">
        <w:rPr>
          <w:rFonts w:cs="Calibri"/>
          <w:noProof/>
          <w:sz w:val="28"/>
          <w:szCs w:val="28"/>
          <w:lang w:eastAsia="el-GR"/>
        </w:rPr>
        <mc:AlternateContent>
          <mc:Choice Requires="wps">
            <w:drawing>
              <wp:anchor distT="0" distB="0" distL="114300" distR="114300" simplePos="0" relativeHeight="251815936" behindDoc="0" locked="0" layoutInCell="1" allowOverlap="1" wp14:anchorId="703A6EA1" wp14:editId="0CB3174B">
                <wp:simplePos x="0" y="0"/>
                <wp:positionH relativeFrom="column">
                  <wp:posOffset>3914775</wp:posOffset>
                </wp:positionH>
                <wp:positionV relativeFrom="paragraph">
                  <wp:posOffset>475615</wp:posOffset>
                </wp:positionV>
                <wp:extent cx="1229995" cy="78740"/>
                <wp:effectExtent l="0" t="0" r="8255" b="0"/>
                <wp:wrapNone/>
                <wp:docPr id="39" name="Rectangle 101" descr="Accent bar right&#10;">
                  <a:extLst xmlns:a="http://schemas.openxmlformats.org/drawingml/2006/main">
                    <a:ext uri="{FF2B5EF4-FFF2-40B4-BE49-F238E27FC236}">
                      <a16:creationId xmlns:a16="http://schemas.microsoft.com/office/drawing/2014/main" id="{A7CD04AE-9A8B-4DED-855D-F51B510D0B69}"/>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9995" cy="78740"/>
                        </a:xfrm>
                        <a:prstGeom prst="rect">
                          <a:avLst/>
                        </a:prstGeom>
                        <a:solidFill>
                          <a:srgbClr val="6691AB"/>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E21505C" id="Rectangle 101" o:spid="_x0000_s1026" alt="Accent bar right&#10;" style="position:absolute;margin-left:308.25pt;margin-top:37.45pt;width:96.85pt;height:6.2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" fillcolor="#6691ab" stroked="f" strokeweight="1pt"/>
            </w:pict>
          </mc:Fallback>
        </mc:AlternateContent>
      </w:r>
      <w:r w:rsidR="009979CE">
        <w:rPr>
          <w:rFonts w:cs="Calibri"/>
          <w:b/>
          <w:color w:val="6691AB"/>
          <w:sz w:val="28"/>
          <w:szCs w:val="28"/>
        </w:rPr>
        <w:t>Κεφαλαιακές Ενέργειες €1 δισ.</w:t>
      </w:r>
      <w:r w:rsidR="00114958">
        <w:rPr>
          <w:rFonts w:cs="Calibri"/>
          <w:b/>
          <w:color w:val="6691AB"/>
          <w:sz w:val="28"/>
          <w:szCs w:val="28"/>
        </w:rPr>
        <w:t xml:space="preserve"> π</w:t>
      </w:r>
      <w:r w:rsidR="00C1355C">
        <w:rPr>
          <w:rFonts w:cs="Calibri"/>
          <w:b/>
          <w:color w:val="6691AB"/>
          <w:sz w:val="28"/>
          <w:szCs w:val="28"/>
        </w:rPr>
        <w:t>ου Παρουσιάστηκαν το</w:t>
      </w:r>
      <w:r w:rsidR="005531BE">
        <w:rPr>
          <w:rFonts w:cs="Calibri"/>
          <w:b/>
          <w:color w:val="6691AB"/>
          <w:sz w:val="28"/>
          <w:szCs w:val="28"/>
        </w:rPr>
        <w:t>ν</w:t>
      </w:r>
      <w:r w:rsidR="00C1355C">
        <w:rPr>
          <w:rFonts w:cs="Calibri"/>
          <w:b/>
          <w:color w:val="6691AB"/>
          <w:sz w:val="28"/>
          <w:szCs w:val="28"/>
        </w:rPr>
        <w:t xml:space="preserve"> Νοε.2020, </w:t>
      </w:r>
      <w:r w:rsidR="00114958">
        <w:rPr>
          <w:rFonts w:cs="Calibri"/>
          <w:b/>
          <w:color w:val="6691AB"/>
          <w:sz w:val="28"/>
          <w:szCs w:val="28"/>
        </w:rPr>
        <w:t>σ</w:t>
      </w:r>
      <w:r w:rsidR="00C1355C">
        <w:rPr>
          <w:rFonts w:cs="Calibri"/>
          <w:b/>
          <w:color w:val="6691AB"/>
          <w:sz w:val="28"/>
          <w:szCs w:val="28"/>
        </w:rPr>
        <w:t>ε Στάδιο Ολοκλήρωσης</w:t>
      </w:r>
      <w:r w:rsidRPr="007A419D">
        <w:rPr>
          <w:rFonts w:cs="Calibri"/>
          <w:noProof/>
          <w:sz w:val="28"/>
          <w:szCs w:val="28"/>
          <w:lang w:eastAsia="el-GR"/>
        </w:rPr>
        <w:t xml:space="preserve"> </w:t>
      </w:r>
      <w:r w:rsidR="003A4DAD" w:rsidRPr="007A419D">
        <w:rPr>
          <w:rFonts w:cs="Calibri"/>
          <w:noProof/>
          <w:sz w:val="28"/>
          <w:szCs w:val="28"/>
          <w:lang w:eastAsia="el-GR"/>
        </w:rPr>
        <mc:AlternateContent>
          <mc:Choice Requires="wps">
            <w:drawing>
              <wp:anchor distT="0" distB="0" distL="114300" distR="114300" simplePos="0" relativeHeight="251813888" behindDoc="0" locked="0" layoutInCell="1" allowOverlap="1" wp14:anchorId="4D915503" wp14:editId="5B7739D7">
                <wp:simplePos x="0" y="0"/>
                <wp:positionH relativeFrom="column">
                  <wp:posOffset>-2171700</wp:posOffset>
                </wp:positionH>
                <wp:positionV relativeFrom="paragraph">
                  <wp:posOffset>523240</wp:posOffset>
                </wp:positionV>
                <wp:extent cx="7178040" cy="0"/>
                <wp:effectExtent l="0" t="0" r="22860" b="19050"/>
                <wp:wrapNone/>
                <wp:docPr id="38" name="Straight Connector 100">
                  <a:extLst xmlns:a="http://schemas.openxmlformats.org/drawingml/2006/main">
                    <a:ext uri="{FF2B5EF4-FFF2-40B4-BE49-F238E27FC236}">
                      <a16:creationId xmlns:a16="http://schemas.microsoft.com/office/drawing/2014/main" id="{CE3EDDE5-9B23-44D7-8546-0B2365B42B16}"/>
                    </a:ext>
                  </a:extLst>
                </wp:docPr>
                <wp:cNvGraphicFramePr/>
                <a:graphic xmlns:a="http://schemas.openxmlformats.org/drawingml/2006/main">
                  <a:graphicData uri="http://schemas.microsoft.com/office/word/2010/wordprocessingShape">
                    <wps:wsp>
                      <wps:cNvCnPr/>
                      <wps:spPr>
                        <a:xfrm flipV="1">
                          <a:off x="0" y="0"/>
                          <a:ext cx="7178040" cy="0"/>
                        </a:xfrm>
                        <a:prstGeom prst="line">
                          <a:avLst/>
                        </a:prstGeom>
                        <a:ln>
                          <a:solidFill>
                            <a:srgbClr val="6691A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D447CC2" id="Straight Connector 100"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171pt,41.2pt" to="394.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" strokecolor="#6691ab"/>
            </w:pict>
          </mc:Fallback>
        </mc:AlternateContent>
      </w:r>
      <w:r w:rsidR="00236275">
        <w:rPr>
          <w:rFonts w:eastAsia="Times New Roman" w:cs="Calibri"/>
          <w:b/>
          <w:color w:val="3A73AE" w:themeColor="accent1"/>
          <w:sz w:val="28"/>
          <w:szCs w:val="28"/>
        </w:rPr>
        <w:br w:type="page"/>
      </w:r>
    </w:p>
    <w:p w14:paraId="41ED2AD8" w14:textId="77777777" w:rsidR="00601324" w:rsidRDefault="00C1355C" w:rsidP="00C1355C">
      <w:pPr>
        <w:ind w:left="-1890" w:right="-97"/>
        <w:jc w:val="center"/>
        <w:rPr>
          <w:rFonts w:eastAsia="Times New Roman" w:cs="Calibri"/>
          <w:b/>
          <w:color w:val="3A73AE" w:themeColor="accent1"/>
          <w:sz w:val="28"/>
          <w:szCs w:val="28"/>
        </w:rPr>
      </w:pPr>
      <w:r w:rsidRPr="00F06BC8">
        <w:rPr>
          <w:rFonts w:cs="Calibri"/>
          <w:b/>
          <w:noProof/>
          <w:color w:val="6691AB"/>
          <w:sz w:val="28"/>
          <w:szCs w:val="28"/>
          <w:lang w:eastAsia="el-GR"/>
        </w:rPr>
        <w:lastRenderedPageBreak/>
        <mc:AlternateContent>
          <mc:Choice Requires="wps">
            <w:drawing>
              <wp:anchor distT="0" distB="0" distL="114300" distR="114300" simplePos="0" relativeHeight="251729920" behindDoc="1" locked="0" layoutInCell="1" allowOverlap="1" wp14:anchorId="07F2E093" wp14:editId="02492B65">
                <wp:simplePos x="0" y="0"/>
                <wp:positionH relativeFrom="page">
                  <wp:posOffset>0</wp:posOffset>
                </wp:positionH>
                <wp:positionV relativeFrom="paragraph">
                  <wp:posOffset>512206</wp:posOffset>
                </wp:positionV>
                <wp:extent cx="7034602" cy="7386452"/>
                <wp:effectExtent l="0" t="0" r="0" b="5080"/>
                <wp:wrapNone/>
                <wp:docPr id="49"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4602" cy="7386452"/>
                        </a:xfrm>
                        <a:prstGeom prst="rect">
                          <a:avLst/>
                        </a:prstGeom>
                        <a:solidFill>
                          <a:srgbClr val="E6E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19079" w14:textId="77777777" w:rsidR="00337141" w:rsidRDefault="00337141" w:rsidP="00C46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E093" id="_x0000_s1030" style="position:absolute;left:0;text-align:left;margin-left:0;margin-top:40.35pt;width:553.9pt;height:581.6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" fillcolor="#e6e6e1" stroked="f">
                <o:lock v:ext="edit" aspectratio="t"/>
                <v:textbox>
                  <w:txbxContent>
                    <w:p w14:paraId="26719079" w14:textId="77777777" w:rsidR="00337141" w:rsidRDefault="00337141" w:rsidP="00C462AC"/>
                  </w:txbxContent>
                </v:textbox>
                <w10:wrap anchorx="page"/>
              </v:rect>
            </w:pict>
          </mc:Fallback>
        </mc:AlternateContent>
      </w:r>
      <w:r w:rsidR="00601324">
        <w:rPr>
          <w:rFonts w:cs="Calibri"/>
          <w:b/>
          <w:color w:val="6691AB"/>
          <w:sz w:val="28"/>
          <w:szCs w:val="28"/>
        </w:rPr>
        <w:t>Η Χρηματοοικονομική Επίδοση του 2020 Τοποθετεί την Πειραιώς σε Θέση Εκκίνησης</w:t>
      </w:r>
    </w:p>
    <w:p w14:paraId="42917104" w14:textId="77777777" w:rsidR="00C1355C" w:rsidRDefault="00C1355C" w:rsidP="00601324">
      <w:pPr>
        <w:spacing w:before="120" w:after="120" w:line="300" w:lineRule="exact"/>
        <w:ind w:left="-630"/>
        <w:rPr>
          <w:rFonts w:eastAsia="Times New Roman" w:cs="Calibri"/>
          <w:b/>
          <w:color w:val="6691AB"/>
          <w:sz w:val="20"/>
          <w:szCs w:val="20"/>
        </w:rPr>
      </w:pPr>
    </w:p>
    <w:p w14:paraId="60A98A68" w14:textId="6CB99561" w:rsidR="00601324" w:rsidRPr="00120BAB" w:rsidRDefault="00601324" w:rsidP="00601324">
      <w:pPr>
        <w:spacing w:before="120" w:after="120" w:line="300" w:lineRule="exact"/>
        <w:ind w:left="-630"/>
        <w:rPr>
          <w:rFonts w:eastAsia="Times New Roman" w:cs="Calibri"/>
          <w:b/>
          <w:color w:val="6691AB"/>
          <w:sz w:val="20"/>
          <w:szCs w:val="20"/>
        </w:rPr>
      </w:pPr>
      <w:r>
        <w:rPr>
          <w:rFonts w:eastAsia="Times New Roman" w:cs="Calibri"/>
          <w:b/>
          <w:color w:val="6691AB"/>
          <w:sz w:val="20"/>
          <w:szCs w:val="20"/>
        </w:rPr>
        <w:t>Επιχ</w:t>
      </w:r>
      <w:r w:rsidRPr="00120BAB">
        <w:rPr>
          <w:rFonts w:eastAsia="Times New Roman" w:cs="Calibri"/>
          <w:b/>
          <w:color w:val="6691AB"/>
          <w:sz w:val="20"/>
          <w:szCs w:val="20"/>
        </w:rPr>
        <w:t>ε</w:t>
      </w:r>
      <w:r>
        <w:rPr>
          <w:rFonts w:eastAsia="Times New Roman" w:cs="Calibri"/>
          <w:b/>
          <w:color w:val="6691AB"/>
          <w:sz w:val="20"/>
          <w:szCs w:val="20"/>
        </w:rPr>
        <w:t>ι</w:t>
      </w:r>
      <w:r w:rsidRPr="00120BAB">
        <w:rPr>
          <w:rFonts w:eastAsia="Times New Roman" w:cs="Calibri"/>
          <w:b/>
          <w:color w:val="6691AB"/>
          <w:sz w:val="20"/>
          <w:szCs w:val="20"/>
        </w:rPr>
        <w:t xml:space="preserve">ρηματική πρόοδος με €1,9 </w:t>
      </w:r>
      <w:r w:rsidR="009979CE">
        <w:rPr>
          <w:rFonts w:eastAsia="Times New Roman" w:cs="Calibri"/>
          <w:b/>
          <w:color w:val="6691AB"/>
          <w:sz w:val="20"/>
          <w:szCs w:val="20"/>
        </w:rPr>
        <w:t>δισ.</w:t>
      </w:r>
      <w:r w:rsidRPr="00120BAB">
        <w:rPr>
          <w:rFonts w:eastAsia="Times New Roman" w:cs="Calibri"/>
          <w:b/>
          <w:color w:val="6691AB"/>
          <w:sz w:val="20"/>
          <w:szCs w:val="20"/>
        </w:rPr>
        <w:t xml:space="preserve"> καθαρά έσοδα</w:t>
      </w:r>
    </w:p>
    <w:p w14:paraId="632F9D75" w14:textId="6FC46339" w:rsidR="00601324" w:rsidRDefault="00601324" w:rsidP="00601324">
      <w:pPr>
        <w:pStyle w:val="1"/>
        <w:numPr>
          <w:ilvl w:val="0"/>
          <w:numId w:val="15"/>
        </w:numPr>
        <w:suppressAutoHyphens w:val="0"/>
        <w:spacing w:after="0" w:line="300" w:lineRule="exact"/>
        <w:ind w:left="-270"/>
        <w:textAlignment w:val="auto"/>
        <w:rPr>
          <w:rFonts w:eastAsia="Times New Roman" w:cs="Calibri"/>
          <w:sz w:val="20"/>
          <w:szCs w:val="20"/>
        </w:rPr>
      </w:pPr>
      <w:r>
        <w:rPr>
          <w:rFonts w:eastAsia="Times New Roman" w:cs="Calibri"/>
          <w:sz w:val="20"/>
          <w:szCs w:val="20"/>
        </w:rPr>
        <w:t xml:space="preserve">Καθαρά έσοδα τόκων +4% </w:t>
      </w:r>
      <w:r w:rsidR="003A3E12">
        <w:rPr>
          <w:rFonts w:eastAsia="Times New Roman" w:cs="Calibri"/>
          <w:sz w:val="20"/>
          <w:szCs w:val="20"/>
        </w:rPr>
        <w:t>ετησίως</w:t>
      </w:r>
      <w:r>
        <w:rPr>
          <w:rFonts w:eastAsia="Times New Roman" w:cs="Calibri"/>
          <w:sz w:val="20"/>
          <w:szCs w:val="20"/>
        </w:rPr>
        <w:t xml:space="preserve"> στα €1</w:t>
      </w:r>
      <w:r w:rsidR="005C652A">
        <w:rPr>
          <w:rFonts w:eastAsia="Times New Roman" w:cs="Calibri"/>
          <w:sz w:val="20"/>
          <w:szCs w:val="20"/>
        </w:rPr>
        <w:t>.486</w:t>
      </w:r>
      <w:r>
        <w:rPr>
          <w:rFonts w:eastAsia="Times New Roman" w:cs="Calibri"/>
          <w:sz w:val="20"/>
          <w:szCs w:val="20"/>
        </w:rPr>
        <w:t xml:space="preserve"> </w:t>
      </w:r>
      <w:r w:rsidR="005C652A">
        <w:rPr>
          <w:rFonts w:eastAsia="Times New Roman" w:cs="Calibri"/>
          <w:sz w:val="20"/>
          <w:szCs w:val="20"/>
        </w:rPr>
        <w:t>εκατ</w:t>
      </w:r>
      <w:r w:rsidR="009979CE">
        <w:rPr>
          <w:rFonts w:eastAsia="Times New Roman" w:cs="Calibri"/>
          <w:sz w:val="20"/>
          <w:szCs w:val="20"/>
        </w:rPr>
        <w:t>.</w:t>
      </w:r>
      <w:r>
        <w:rPr>
          <w:rFonts w:eastAsia="Times New Roman" w:cs="Calibri"/>
          <w:sz w:val="20"/>
          <w:szCs w:val="20"/>
        </w:rPr>
        <w:t xml:space="preserve"> </w:t>
      </w:r>
      <w:r w:rsidR="00114958">
        <w:rPr>
          <w:rFonts w:eastAsia="Times New Roman" w:cs="Calibri"/>
          <w:sz w:val="20"/>
          <w:szCs w:val="20"/>
        </w:rPr>
        <w:t>υποστηριζόμενα</w:t>
      </w:r>
      <w:r>
        <w:rPr>
          <w:rFonts w:eastAsia="Times New Roman" w:cs="Calibri"/>
          <w:sz w:val="20"/>
          <w:szCs w:val="20"/>
        </w:rPr>
        <w:t xml:space="preserve"> από το χαμηλότερο κόστος χρηματοδότησης και τα €6,3 </w:t>
      </w:r>
      <w:r w:rsidR="009979CE">
        <w:rPr>
          <w:rFonts w:eastAsia="Times New Roman" w:cs="Calibri"/>
          <w:sz w:val="20"/>
          <w:szCs w:val="20"/>
        </w:rPr>
        <w:t>δισ.</w:t>
      </w:r>
      <w:r>
        <w:rPr>
          <w:rFonts w:eastAsia="Times New Roman" w:cs="Calibri"/>
          <w:sz w:val="20"/>
          <w:szCs w:val="20"/>
        </w:rPr>
        <w:t xml:space="preserve"> νέα δάνεια (άνοδο</w:t>
      </w:r>
      <w:r w:rsidR="00D0595B">
        <w:rPr>
          <w:rFonts w:eastAsia="Times New Roman" w:cs="Calibri"/>
          <w:sz w:val="20"/>
          <w:szCs w:val="20"/>
        </w:rPr>
        <w:t>ς</w:t>
      </w:r>
      <w:r>
        <w:rPr>
          <w:rFonts w:eastAsia="Times New Roman" w:cs="Calibri"/>
          <w:sz w:val="20"/>
          <w:szCs w:val="20"/>
        </w:rPr>
        <w:t xml:space="preserve"> 62% σε ετήσια βάση)</w:t>
      </w:r>
    </w:p>
    <w:p w14:paraId="34B87E00" w14:textId="08B1092F" w:rsidR="00601324" w:rsidRDefault="00601324" w:rsidP="00601324">
      <w:pPr>
        <w:pStyle w:val="1"/>
        <w:numPr>
          <w:ilvl w:val="0"/>
          <w:numId w:val="15"/>
        </w:numPr>
        <w:suppressAutoHyphens w:val="0"/>
        <w:spacing w:after="0" w:line="300" w:lineRule="exact"/>
        <w:ind w:left="-270"/>
        <w:textAlignment w:val="auto"/>
        <w:rPr>
          <w:rFonts w:eastAsia="Times New Roman" w:cs="Calibri"/>
          <w:sz w:val="20"/>
          <w:szCs w:val="20"/>
        </w:rPr>
      </w:pPr>
      <w:r>
        <w:rPr>
          <w:rFonts w:eastAsia="Times New Roman" w:cs="Calibri"/>
          <w:sz w:val="20"/>
          <w:szCs w:val="20"/>
        </w:rPr>
        <w:t>Σταθερά καθαρά έσοδα προμηθειών σε ετήσια βάση, στα €</w:t>
      </w:r>
      <w:r w:rsidR="005C652A">
        <w:rPr>
          <w:rFonts w:eastAsia="Times New Roman" w:cs="Calibri"/>
          <w:sz w:val="20"/>
          <w:szCs w:val="20"/>
        </w:rPr>
        <w:t>317</w:t>
      </w:r>
      <w:r w:rsidR="009979CE">
        <w:rPr>
          <w:rFonts w:eastAsia="Times New Roman" w:cs="Calibri"/>
          <w:sz w:val="20"/>
          <w:szCs w:val="20"/>
        </w:rPr>
        <w:t xml:space="preserve"> </w:t>
      </w:r>
      <w:r w:rsidR="005C652A">
        <w:rPr>
          <w:rFonts w:eastAsia="Times New Roman" w:cs="Calibri"/>
          <w:sz w:val="20"/>
          <w:szCs w:val="20"/>
        </w:rPr>
        <w:t>εκατ</w:t>
      </w:r>
      <w:r w:rsidR="009979CE">
        <w:rPr>
          <w:rFonts w:eastAsia="Times New Roman" w:cs="Calibri"/>
          <w:sz w:val="20"/>
          <w:szCs w:val="20"/>
        </w:rPr>
        <w:t>.</w:t>
      </w:r>
      <w:r>
        <w:rPr>
          <w:rFonts w:eastAsia="Times New Roman" w:cs="Calibri"/>
          <w:sz w:val="20"/>
          <w:szCs w:val="20"/>
        </w:rPr>
        <w:t xml:space="preserve"> ή 0,5% επί του ενεργητικού παρά το αντίξοο εξωτερικό περιβάλλον</w:t>
      </w:r>
    </w:p>
    <w:p w14:paraId="24C6A071" w14:textId="1BFED9B8" w:rsidR="00601324" w:rsidRDefault="00601324" w:rsidP="00601324">
      <w:pPr>
        <w:pStyle w:val="1"/>
        <w:numPr>
          <w:ilvl w:val="0"/>
          <w:numId w:val="15"/>
        </w:numPr>
        <w:suppressAutoHyphens w:val="0"/>
        <w:spacing w:after="0" w:line="300" w:lineRule="exact"/>
        <w:ind w:left="-270"/>
        <w:textAlignment w:val="auto"/>
        <w:rPr>
          <w:rFonts w:eastAsia="Times New Roman" w:cs="Calibri"/>
          <w:sz w:val="20"/>
          <w:szCs w:val="20"/>
        </w:rPr>
      </w:pPr>
      <w:r>
        <w:rPr>
          <w:rFonts w:eastAsia="Times New Roman" w:cs="Calibri"/>
          <w:sz w:val="20"/>
          <w:szCs w:val="20"/>
        </w:rPr>
        <w:t>Περίπου 95% των συνολικών εσόδων προέρχεται από βασικές τραπεζικές πηγές εσόδων</w:t>
      </w:r>
    </w:p>
    <w:p w14:paraId="7305CBBD" w14:textId="77777777" w:rsidR="00601324" w:rsidRDefault="00601324" w:rsidP="00601324">
      <w:pPr>
        <w:pStyle w:val="1"/>
        <w:suppressAutoHyphens w:val="0"/>
        <w:spacing w:after="0" w:line="300" w:lineRule="exact"/>
        <w:ind w:left="576"/>
        <w:textAlignment w:val="auto"/>
        <w:rPr>
          <w:rFonts w:eastAsia="Times New Roman" w:cs="Calibri"/>
          <w:sz w:val="20"/>
          <w:szCs w:val="20"/>
        </w:rPr>
      </w:pPr>
    </w:p>
    <w:p w14:paraId="406616CF" w14:textId="6A36AE6E" w:rsidR="00601324" w:rsidRPr="00120BAB" w:rsidRDefault="00601324" w:rsidP="00601324">
      <w:pPr>
        <w:pStyle w:val="1"/>
        <w:spacing w:before="120" w:after="120" w:line="300" w:lineRule="exact"/>
        <w:ind w:left="-630"/>
        <w:rPr>
          <w:rFonts w:eastAsia="Times New Roman" w:cs="Calibri"/>
          <w:b/>
          <w:color w:val="6691AB"/>
          <w:sz w:val="20"/>
          <w:szCs w:val="20"/>
        </w:rPr>
      </w:pPr>
      <w:r>
        <w:rPr>
          <w:rStyle w:val="10"/>
          <w:rFonts w:eastAsia="Times New Roman" w:cs="Calibri"/>
          <w:b/>
          <w:color w:val="6691AB"/>
          <w:sz w:val="20"/>
          <w:szCs w:val="20"/>
        </w:rPr>
        <w:t xml:space="preserve">Λειτουργική αποτελεσματικότητα με €0,9 </w:t>
      </w:r>
      <w:r w:rsidR="009979CE">
        <w:rPr>
          <w:rStyle w:val="10"/>
          <w:rFonts w:eastAsia="Times New Roman" w:cs="Calibri"/>
          <w:b/>
          <w:color w:val="6691AB"/>
          <w:sz w:val="20"/>
          <w:szCs w:val="20"/>
        </w:rPr>
        <w:t>δισ.</w:t>
      </w:r>
      <w:r w:rsidRPr="00120BAB">
        <w:rPr>
          <w:rStyle w:val="10"/>
          <w:rFonts w:eastAsia="Times New Roman" w:cs="Calibri"/>
          <w:b/>
          <w:color w:val="6691AB"/>
          <w:sz w:val="20"/>
          <w:szCs w:val="20"/>
        </w:rPr>
        <w:t xml:space="preserve"> </w:t>
      </w:r>
      <w:r>
        <w:rPr>
          <w:rStyle w:val="10"/>
          <w:rFonts w:eastAsia="Times New Roman" w:cs="Calibri"/>
          <w:b/>
          <w:color w:val="6691AB"/>
          <w:sz w:val="20"/>
          <w:szCs w:val="20"/>
        </w:rPr>
        <w:t>έξοδα σε επαναλαμβανόμενη βάση</w:t>
      </w:r>
    </w:p>
    <w:p w14:paraId="2785D480" w14:textId="561B3239" w:rsidR="00601324" w:rsidRPr="00120BAB" w:rsidRDefault="00601324" w:rsidP="00601324">
      <w:pPr>
        <w:pStyle w:val="11"/>
        <w:numPr>
          <w:ilvl w:val="0"/>
          <w:numId w:val="15"/>
        </w:numPr>
        <w:suppressAutoHyphens w:val="0"/>
        <w:spacing w:line="300" w:lineRule="exact"/>
        <w:ind w:left="-270"/>
        <w:textAlignment w:val="auto"/>
        <w:rPr>
          <w:rFonts w:cs="Calibri"/>
          <w:sz w:val="20"/>
          <w:szCs w:val="17"/>
          <w:lang w:val="el-GR"/>
        </w:rPr>
      </w:pPr>
      <w:r>
        <w:rPr>
          <w:rFonts w:cs="Calibri"/>
          <w:sz w:val="20"/>
          <w:szCs w:val="17"/>
          <w:lang w:val="el-GR"/>
        </w:rPr>
        <w:t>Λ</w:t>
      </w:r>
      <w:r w:rsidRPr="00120BAB">
        <w:rPr>
          <w:rFonts w:cs="Calibri"/>
          <w:sz w:val="20"/>
          <w:szCs w:val="17"/>
          <w:lang w:val="el-GR"/>
        </w:rPr>
        <w:t>ειτουργικ</w:t>
      </w:r>
      <w:r>
        <w:rPr>
          <w:rFonts w:cs="Calibri"/>
          <w:sz w:val="20"/>
          <w:szCs w:val="17"/>
          <w:lang w:val="el-GR"/>
        </w:rPr>
        <w:t>ά</w:t>
      </w:r>
      <w:r w:rsidRPr="00120BAB">
        <w:rPr>
          <w:rFonts w:cs="Calibri"/>
          <w:sz w:val="20"/>
          <w:szCs w:val="17"/>
          <w:lang w:val="el-GR"/>
        </w:rPr>
        <w:t xml:space="preserve"> </w:t>
      </w:r>
      <w:r>
        <w:rPr>
          <w:rFonts w:cs="Calibri"/>
          <w:sz w:val="20"/>
          <w:szCs w:val="17"/>
          <w:lang w:val="el-GR"/>
        </w:rPr>
        <w:t>έξοδα</w:t>
      </w:r>
      <w:r w:rsidRPr="00120BAB">
        <w:rPr>
          <w:rFonts w:cs="Calibri"/>
          <w:sz w:val="20"/>
          <w:szCs w:val="17"/>
          <w:lang w:val="el-GR"/>
        </w:rPr>
        <w:t xml:space="preserve"> </w:t>
      </w:r>
      <w:r>
        <w:rPr>
          <w:rFonts w:cs="Calibri"/>
          <w:sz w:val="20"/>
          <w:szCs w:val="17"/>
          <w:lang w:val="el-GR"/>
        </w:rPr>
        <w:t>στα €</w:t>
      </w:r>
      <w:r w:rsidR="00D0595B">
        <w:rPr>
          <w:rFonts w:cs="Calibri"/>
          <w:sz w:val="20"/>
          <w:szCs w:val="17"/>
          <w:lang w:val="el-GR"/>
        </w:rPr>
        <w:t>891</w:t>
      </w:r>
      <w:r>
        <w:rPr>
          <w:rFonts w:cs="Calibri"/>
          <w:sz w:val="20"/>
          <w:szCs w:val="17"/>
          <w:lang w:val="el-GR"/>
        </w:rPr>
        <w:t xml:space="preserve"> </w:t>
      </w:r>
      <w:r w:rsidR="00337141">
        <w:rPr>
          <w:rFonts w:cs="Calibri"/>
          <w:sz w:val="20"/>
          <w:szCs w:val="17"/>
          <w:lang w:val="el-GR"/>
        </w:rPr>
        <w:t>εκατ.</w:t>
      </w:r>
      <w:r>
        <w:rPr>
          <w:rFonts w:cs="Calibri"/>
          <w:sz w:val="20"/>
          <w:szCs w:val="17"/>
          <w:lang w:val="el-GR"/>
        </w:rPr>
        <w:t xml:space="preserve"> μειωμένα </w:t>
      </w:r>
      <w:r w:rsidRPr="00120BAB">
        <w:rPr>
          <w:rFonts w:cs="Calibri"/>
          <w:sz w:val="20"/>
          <w:szCs w:val="17"/>
          <w:lang w:val="el-GR"/>
        </w:rPr>
        <w:t xml:space="preserve">κατά </w:t>
      </w:r>
      <w:r>
        <w:rPr>
          <w:rFonts w:cs="Calibri"/>
          <w:sz w:val="20"/>
          <w:szCs w:val="17"/>
          <w:lang w:val="el-GR"/>
        </w:rPr>
        <w:t>7</w:t>
      </w:r>
      <w:r w:rsidRPr="00120BAB">
        <w:rPr>
          <w:rFonts w:cs="Calibri"/>
          <w:sz w:val="20"/>
          <w:szCs w:val="17"/>
          <w:lang w:val="el-GR"/>
        </w:rPr>
        <w:t xml:space="preserve">% ετησίως </w:t>
      </w:r>
      <w:r>
        <w:rPr>
          <w:rFonts w:cs="Calibri"/>
          <w:sz w:val="20"/>
          <w:szCs w:val="17"/>
          <w:lang w:val="el-GR"/>
        </w:rPr>
        <w:t>σε συγκρίσιμη βάση</w:t>
      </w:r>
    </w:p>
    <w:p w14:paraId="5435E90C" w14:textId="4876C32B" w:rsidR="00601324" w:rsidRDefault="00601324" w:rsidP="00601324">
      <w:pPr>
        <w:pStyle w:val="11"/>
        <w:numPr>
          <w:ilvl w:val="0"/>
          <w:numId w:val="15"/>
        </w:numPr>
        <w:suppressAutoHyphens w:val="0"/>
        <w:spacing w:line="300" w:lineRule="exact"/>
        <w:ind w:left="-270" w:right="83"/>
        <w:textAlignment w:val="auto"/>
        <w:rPr>
          <w:rFonts w:cs="Calibri"/>
          <w:spacing w:val="-4"/>
          <w:sz w:val="20"/>
          <w:szCs w:val="17"/>
          <w:lang w:val="el-GR"/>
        </w:rPr>
      </w:pPr>
      <w:r>
        <w:rPr>
          <w:rFonts w:cs="Calibri"/>
          <w:spacing w:val="-4"/>
          <w:sz w:val="20"/>
          <w:szCs w:val="17"/>
          <w:lang w:val="el-GR"/>
        </w:rPr>
        <w:t>Η πρόοδος στη λειτουργική αποτελεσματικότητα αποτυπώνεται στο δείκτη κόστους προς έσοδα</w:t>
      </w:r>
      <w:r w:rsidR="00D0595B">
        <w:rPr>
          <w:rFonts w:cs="Calibri"/>
          <w:spacing w:val="-4"/>
          <w:sz w:val="20"/>
          <w:szCs w:val="17"/>
          <w:lang w:val="el-GR"/>
        </w:rPr>
        <w:t>,</w:t>
      </w:r>
      <w:r>
        <w:rPr>
          <w:rFonts w:cs="Calibri"/>
          <w:spacing w:val="-4"/>
          <w:sz w:val="20"/>
          <w:szCs w:val="17"/>
          <w:lang w:val="el-GR"/>
        </w:rPr>
        <w:t xml:space="preserve"> ο οποίος διαμορφώνεται στο 47%, σε σχέση με 53% το προηγούμενο έτος</w:t>
      </w:r>
    </w:p>
    <w:p w14:paraId="333A5431" w14:textId="1FE24EBA" w:rsidR="00601324" w:rsidRDefault="00601324" w:rsidP="00601324">
      <w:pPr>
        <w:pStyle w:val="11"/>
        <w:numPr>
          <w:ilvl w:val="0"/>
          <w:numId w:val="15"/>
        </w:numPr>
        <w:suppressAutoHyphens w:val="0"/>
        <w:spacing w:line="300" w:lineRule="exact"/>
        <w:ind w:left="-270"/>
        <w:textAlignment w:val="auto"/>
        <w:rPr>
          <w:rFonts w:cs="Calibri"/>
          <w:spacing w:val="-4"/>
          <w:sz w:val="20"/>
          <w:szCs w:val="17"/>
          <w:lang w:val="el-GR"/>
        </w:rPr>
      </w:pPr>
      <w:r>
        <w:rPr>
          <w:rFonts w:cs="Calibri"/>
          <w:spacing w:val="-4"/>
          <w:sz w:val="20"/>
          <w:szCs w:val="17"/>
          <w:lang w:val="el-GR"/>
        </w:rPr>
        <w:t xml:space="preserve">Περίπου 1.200 εργαζόμενοι υπέβαλαν αίτηση στο πρόγραμμα </w:t>
      </w:r>
      <w:r w:rsidR="00D0595B">
        <w:rPr>
          <w:rFonts w:cs="Calibri"/>
          <w:spacing w:val="-4"/>
          <w:sz w:val="20"/>
          <w:szCs w:val="17"/>
          <w:lang w:val="el-GR"/>
        </w:rPr>
        <w:t>αποχώρησης</w:t>
      </w:r>
      <w:r>
        <w:rPr>
          <w:rFonts w:cs="Calibri"/>
          <w:spacing w:val="-4"/>
          <w:sz w:val="20"/>
          <w:szCs w:val="17"/>
          <w:lang w:val="el-GR"/>
        </w:rPr>
        <w:t xml:space="preserve"> </w:t>
      </w:r>
      <w:r w:rsidR="00D0595B">
        <w:rPr>
          <w:rFonts w:cs="Calibri"/>
          <w:spacing w:val="-4"/>
          <w:sz w:val="20"/>
          <w:szCs w:val="17"/>
          <w:lang w:val="el-GR"/>
        </w:rPr>
        <w:t xml:space="preserve">στα τέλη </w:t>
      </w:r>
      <w:r>
        <w:rPr>
          <w:rFonts w:cs="Calibri"/>
          <w:spacing w:val="-4"/>
          <w:sz w:val="20"/>
          <w:szCs w:val="17"/>
          <w:lang w:val="el-GR"/>
        </w:rPr>
        <w:t>του 2020, διασφαλίζοντας την εξοικονόμηση περίπου</w:t>
      </w:r>
      <w:r w:rsidRPr="00635FCD">
        <w:rPr>
          <w:rFonts w:cs="Calibri"/>
          <w:spacing w:val="-4"/>
          <w:sz w:val="20"/>
          <w:szCs w:val="17"/>
          <w:lang w:val="el-GR"/>
        </w:rPr>
        <w:t xml:space="preserve"> </w:t>
      </w:r>
      <w:r>
        <w:rPr>
          <w:rFonts w:cs="Calibri"/>
          <w:spacing w:val="-4"/>
          <w:sz w:val="20"/>
          <w:szCs w:val="17"/>
          <w:lang w:val="el-GR"/>
        </w:rPr>
        <w:t xml:space="preserve">€45 </w:t>
      </w:r>
      <w:r w:rsidR="00337141">
        <w:rPr>
          <w:rFonts w:cs="Calibri"/>
          <w:spacing w:val="-4"/>
          <w:sz w:val="20"/>
          <w:szCs w:val="17"/>
          <w:lang w:val="el-GR"/>
        </w:rPr>
        <w:t>εκατ.</w:t>
      </w:r>
      <w:r>
        <w:rPr>
          <w:rFonts w:cs="Calibri"/>
          <w:spacing w:val="-4"/>
          <w:sz w:val="20"/>
          <w:szCs w:val="17"/>
          <w:lang w:val="el-GR"/>
        </w:rPr>
        <w:t xml:space="preserve"> ετησίως</w:t>
      </w:r>
    </w:p>
    <w:p w14:paraId="5FBCA5AE" w14:textId="77777777" w:rsidR="00601324" w:rsidRPr="00120BAB" w:rsidRDefault="00601324" w:rsidP="00601324">
      <w:pPr>
        <w:pStyle w:val="11"/>
        <w:suppressAutoHyphens w:val="0"/>
        <w:spacing w:line="300" w:lineRule="exact"/>
        <w:ind w:left="576"/>
        <w:textAlignment w:val="auto"/>
        <w:rPr>
          <w:rFonts w:cs="Calibri"/>
          <w:spacing w:val="-4"/>
          <w:sz w:val="20"/>
          <w:szCs w:val="17"/>
          <w:lang w:val="el-GR"/>
        </w:rPr>
      </w:pPr>
    </w:p>
    <w:p w14:paraId="632CE1CB" w14:textId="77777777" w:rsidR="00601324" w:rsidRPr="007836EE" w:rsidRDefault="00601324" w:rsidP="00601324">
      <w:pPr>
        <w:pStyle w:val="11"/>
        <w:suppressAutoHyphens w:val="0"/>
        <w:spacing w:before="120" w:after="120" w:line="300" w:lineRule="exact"/>
        <w:ind w:left="-630"/>
        <w:textAlignment w:val="auto"/>
        <w:rPr>
          <w:rFonts w:eastAsia="Times New Roman" w:cs="Calibri"/>
          <w:b/>
          <w:color w:val="6691AB"/>
          <w:sz w:val="20"/>
          <w:szCs w:val="20"/>
          <w:lang w:val="el-GR"/>
        </w:rPr>
      </w:pPr>
      <w:r>
        <w:rPr>
          <w:rFonts w:eastAsia="Times New Roman" w:cs="Calibri"/>
          <w:b/>
          <w:color w:val="6691AB"/>
          <w:sz w:val="20"/>
          <w:szCs w:val="20"/>
          <w:lang w:val="el-GR"/>
        </w:rPr>
        <w:t>Επαναλαμβανόμενα αποτελέσματα που φανερώνουν ανθεκτικότητα</w:t>
      </w:r>
    </w:p>
    <w:p w14:paraId="4BDF23EE" w14:textId="77777777" w:rsidR="00601324" w:rsidRPr="00B7077A" w:rsidRDefault="00601324" w:rsidP="00601324">
      <w:pPr>
        <w:pStyle w:val="11"/>
        <w:numPr>
          <w:ilvl w:val="0"/>
          <w:numId w:val="15"/>
        </w:numPr>
        <w:suppressAutoHyphens w:val="0"/>
        <w:spacing w:line="300" w:lineRule="exact"/>
        <w:ind w:left="-270"/>
        <w:textAlignment w:val="auto"/>
        <w:rPr>
          <w:rFonts w:cs="Calibri"/>
          <w:sz w:val="20"/>
          <w:szCs w:val="17"/>
          <w:lang w:val="el-GR"/>
        </w:rPr>
      </w:pPr>
      <w:r>
        <w:rPr>
          <w:rFonts w:cs="Calibri"/>
          <w:sz w:val="20"/>
          <w:szCs w:val="17"/>
          <w:lang w:val="el-GR"/>
        </w:rPr>
        <w:t xml:space="preserve">Κέρδη προ φόρων </w:t>
      </w:r>
      <w:r w:rsidRPr="00120BAB">
        <w:rPr>
          <w:rStyle w:val="10"/>
          <w:rFonts w:cs="Calibri"/>
          <w:sz w:val="20"/>
          <w:szCs w:val="17"/>
          <w:lang w:val="el-GR"/>
        </w:rPr>
        <w:t>€</w:t>
      </w:r>
      <w:r w:rsidR="00E83852">
        <w:rPr>
          <w:rStyle w:val="10"/>
          <w:rFonts w:cs="Calibri"/>
          <w:sz w:val="20"/>
          <w:szCs w:val="17"/>
          <w:lang w:val="el-GR"/>
        </w:rPr>
        <w:t>312</w:t>
      </w:r>
      <w:r>
        <w:rPr>
          <w:rStyle w:val="10"/>
          <w:rFonts w:cs="Calibri"/>
          <w:sz w:val="20"/>
          <w:szCs w:val="17"/>
          <w:lang w:val="el-GR"/>
        </w:rPr>
        <w:t xml:space="preserve"> </w:t>
      </w:r>
      <w:r w:rsidRPr="00120BAB">
        <w:rPr>
          <w:rStyle w:val="10"/>
          <w:rFonts w:cs="Calibri"/>
          <w:sz w:val="20"/>
          <w:szCs w:val="17"/>
          <w:lang w:val="el-GR"/>
        </w:rPr>
        <w:t>εκατ.</w:t>
      </w:r>
      <w:r>
        <w:rPr>
          <w:rStyle w:val="10"/>
          <w:rFonts w:cs="Calibri"/>
          <w:sz w:val="20"/>
          <w:szCs w:val="17"/>
          <w:lang w:val="el-GR"/>
        </w:rPr>
        <w:t xml:space="preserve"> το 2020 προσαρμοσμένα για τα έξοδα αναδιοργάνωσης προσωπικού και έκτακτες προβλέψεις</w:t>
      </w:r>
    </w:p>
    <w:p w14:paraId="4A722C9D" w14:textId="61307AAE" w:rsidR="00601324" w:rsidRPr="007836EE" w:rsidRDefault="00601324" w:rsidP="00601324">
      <w:pPr>
        <w:pStyle w:val="11"/>
        <w:numPr>
          <w:ilvl w:val="0"/>
          <w:numId w:val="15"/>
        </w:numPr>
        <w:suppressAutoHyphens w:val="0"/>
        <w:spacing w:line="300" w:lineRule="exact"/>
        <w:ind w:left="-270"/>
        <w:textAlignment w:val="auto"/>
        <w:rPr>
          <w:rFonts w:cs="Calibri"/>
          <w:sz w:val="20"/>
          <w:szCs w:val="17"/>
          <w:lang w:val="el-GR"/>
        </w:rPr>
      </w:pPr>
      <w:r>
        <w:rPr>
          <w:sz w:val="20"/>
          <w:lang w:val="el-GR"/>
        </w:rPr>
        <w:t>Περίπου €</w:t>
      </w:r>
      <w:r w:rsidR="00E83852">
        <w:rPr>
          <w:sz w:val="20"/>
          <w:lang w:val="el-GR"/>
        </w:rPr>
        <w:t>695</w:t>
      </w:r>
      <w:r w:rsidR="00D0595B">
        <w:rPr>
          <w:sz w:val="20"/>
          <w:lang w:val="el-GR"/>
        </w:rPr>
        <w:t xml:space="preserve"> </w:t>
      </w:r>
      <w:r w:rsidR="00337141">
        <w:rPr>
          <w:sz w:val="20"/>
          <w:lang w:val="el-GR"/>
        </w:rPr>
        <w:t>εκατ.</w:t>
      </w:r>
      <w:r>
        <w:rPr>
          <w:sz w:val="20"/>
          <w:lang w:val="el-GR"/>
        </w:rPr>
        <w:t xml:space="preserve"> προβλέψεις για τις </w:t>
      </w:r>
      <w:r>
        <w:rPr>
          <w:sz w:val="20"/>
        </w:rPr>
        <w:t>COVID</w:t>
      </w:r>
      <w:r w:rsidRPr="00D61574">
        <w:rPr>
          <w:sz w:val="20"/>
          <w:lang w:val="el-GR"/>
        </w:rPr>
        <w:t>-19</w:t>
      </w:r>
      <w:r>
        <w:rPr>
          <w:sz w:val="20"/>
          <w:lang w:val="el-GR"/>
        </w:rPr>
        <w:t xml:space="preserve"> ζημίες και άλλες προβλέψεις στο πλαίσιο του νέου πλάνου για μείωση των </w:t>
      </w:r>
      <w:r w:rsidR="00182520">
        <w:rPr>
          <w:sz w:val="20"/>
        </w:rPr>
        <w:t>NPEs</w:t>
      </w:r>
      <w:r>
        <w:rPr>
          <w:sz w:val="20"/>
          <w:lang w:val="el-GR"/>
        </w:rPr>
        <w:t xml:space="preserve"> </w:t>
      </w:r>
    </w:p>
    <w:p w14:paraId="192663FF" w14:textId="4254376B" w:rsidR="00601324" w:rsidRPr="00D61574" w:rsidRDefault="00601324" w:rsidP="00601324">
      <w:pPr>
        <w:pStyle w:val="11"/>
        <w:numPr>
          <w:ilvl w:val="0"/>
          <w:numId w:val="15"/>
        </w:numPr>
        <w:suppressAutoHyphens w:val="0"/>
        <w:spacing w:line="300" w:lineRule="exact"/>
        <w:ind w:left="-270"/>
        <w:textAlignment w:val="auto"/>
        <w:rPr>
          <w:rFonts w:cs="Calibri"/>
          <w:sz w:val="20"/>
          <w:szCs w:val="17"/>
          <w:lang w:val="el-GR"/>
        </w:rPr>
      </w:pPr>
      <w:r>
        <w:rPr>
          <w:rFonts w:cs="Calibri"/>
          <w:sz w:val="20"/>
          <w:szCs w:val="17"/>
          <w:lang w:val="el-GR"/>
        </w:rPr>
        <w:t xml:space="preserve">Αποτελέσματα προ φόρων ζημιογόνα κατά €530 </w:t>
      </w:r>
      <w:r w:rsidR="00337141">
        <w:rPr>
          <w:rFonts w:cs="Calibri"/>
          <w:sz w:val="20"/>
          <w:szCs w:val="17"/>
          <w:lang w:val="el-GR"/>
        </w:rPr>
        <w:t>εκατ.</w:t>
      </w:r>
    </w:p>
    <w:p w14:paraId="70D6E2C2" w14:textId="77777777" w:rsidR="00601324" w:rsidRDefault="00601324" w:rsidP="00601324">
      <w:pPr>
        <w:pStyle w:val="11"/>
        <w:suppressAutoHyphens w:val="0"/>
        <w:spacing w:line="300" w:lineRule="exact"/>
        <w:ind w:left="576"/>
        <w:textAlignment w:val="auto"/>
        <w:rPr>
          <w:rFonts w:cs="Calibri"/>
          <w:sz w:val="20"/>
          <w:szCs w:val="17"/>
          <w:lang w:val="el-GR"/>
        </w:rPr>
      </w:pPr>
    </w:p>
    <w:p w14:paraId="7EC6245C" w14:textId="3501E96C" w:rsidR="00601324" w:rsidRDefault="00601324" w:rsidP="00601324">
      <w:pPr>
        <w:pStyle w:val="11"/>
        <w:suppressAutoHyphens w:val="0"/>
        <w:spacing w:before="120" w:after="120" w:line="300" w:lineRule="exact"/>
        <w:ind w:left="-630"/>
        <w:textAlignment w:val="auto"/>
        <w:rPr>
          <w:rFonts w:eastAsia="Times New Roman" w:cs="Calibri"/>
          <w:b/>
          <w:color w:val="6691AB"/>
          <w:sz w:val="20"/>
          <w:szCs w:val="20"/>
          <w:lang w:val="el-GR"/>
        </w:rPr>
      </w:pPr>
      <w:r w:rsidRPr="00635FCD">
        <w:rPr>
          <w:rFonts w:eastAsia="Times New Roman" w:cs="Calibri"/>
          <w:b/>
          <w:color w:val="6691AB"/>
          <w:sz w:val="20"/>
          <w:szCs w:val="20"/>
          <w:lang w:val="el-GR"/>
        </w:rPr>
        <w:t xml:space="preserve">Ενισχυμένη </w:t>
      </w:r>
      <w:r>
        <w:rPr>
          <w:rFonts w:eastAsia="Times New Roman" w:cs="Calibri"/>
          <w:b/>
          <w:color w:val="6691AB"/>
          <w:sz w:val="20"/>
          <w:szCs w:val="20"/>
          <w:lang w:val="el-GR"/>
        </w:rPr>
        <w:t>ρευσ</w:t>
      </w:r>
      <w:r w:rsidR="00D0595B">
        <w:rPr>
          <w:rFonts w:eastAsia="Times New Roman" w:cs="Calibri"/>
          <w:b/>
          <w:color w:val="6691AB"/>
          <w:sz w:val="20"/>
          <w:szCs w:val="20"/>
          <w:lang w:val="el-GR"/>
        </w:rPr>
        <w:t>τ</w:t>
      </w:r>
      <w:r>
        <w:rPr>
          <w:rFonts w:eastAsia="Times New Roman" w:cs="Calibri"/>
          <w:b/>
          <w:color w:val="6691AB"/>
          <w:sz w:val="20"/>
          <w:szCs w:val="20"/>
          <w:lang w:val="el-GR"/>
        </w:rPr>
        <w:t xml:space="preserve">ότητα και ικανοποιητική </w:t>
      </w:r>
      <w:r w:rsidRPr="00635FCD">
        <w:rPr>
          <w:rFonts w:eastAsia="Times New Roman" w:cs="Calibri"/>
          <w:b/>
          <w:color w:val="6691AB"/>
          <w:sz w:val="20"/>
          <w:szCs w:val="20"/>
          <w:lang w:val="el-GR"/>
        </w:rPr>
        <w:t xml:space="preserve">κεφαλαιακή θέση </w:t>
      </w:r>
    </w:p>
    <w:p w14:paraId="126DCF3E" w14:textId="71423907" w:rsidR="00601324" w:rsidRDefault="00601324" w:rsidP="00601324">
      <w:pPr>
        <w:pStyle w:val="11"/>
        <w:numPr>
          <w:ilvl w:val="0"/>
          <w:numId w:val="15"/>
        </w:numPr>
        <w:suppressAutoHyphens w:val="0"/>
        <w:spacing w:line="300" w:lineRule="exact"/>
        <w:ind w:left="-270"/>
        <w:textAlignment w:val="auto"/>
        <w:rPr>
          <w:rFonts w:cs="Calibri"/>
          <w:sz w:val="20"/>
          <w:szCs w:val="17"/>
          <w:lang w:val="el-GR"/>
        </w:rPr>
      </w:pPr>
      <w:r w:rsidRPr="00635FCD">
        <w:rPr>
          <w:rFonts w:cs="Calibri"/>
          <w:sz w:val="20"/>
          <w:szCs w:val="17"/>
          <w:lang w:val="el-GR"/>
        </w:rPr>
        <w:t xml:space="preserve">Δείκτης συνολικής κεφαλαιακής επάρκειας 15,8% </w:t>
      </w:r>
      <w:r>
        <w:rPr>
          <w:rFonts w:cs="Calibri"/>
          <w:sz w:val="20"/>
          <w:szCs w:val="17"/>
          <w:lang w:val="el-GR"/>
        </w:rPr>
        <w:t xml:space="preserve">έναντι τρέχουσας εποπτικής </w:t>
      </w:r>
      <w:r w:rsidR="00D0595B">
        <w:rPr>
          <w:rFonts w:cs="Calibri"/>
          <w:sz w:val="20"/>
          <w:szCs w:val="17"/>
          <w:lang w:val="el-GR"/>
        </w:rPr>
        <w:t>απαίτησης</w:t>
      </w:r>
      <w:r>
        <w:rPr>
          <w:rFonts w:cs="Calibri"/>
          <w:sz w:val="20"/>
          <w:szCs w:val="17"/>
          <w:lang w:val="el-GR"/>
        </w:rPr>
        <w:t xml:space="preserve"> 11,25%</w:t>
      </w:r>
    </w:p>
    <w:p w14:paraId="19B42DB4" w14:textId="7F062DB1" w:rsidR="00601324" w:rsidRPr="00635FCD" w:rsidRDefault="00601324" w:rsidP="00601324">
      <w:pPr>
        <w:pStyle w:val="11"/>
        <w:numPr>
          <w:ilvl w:val="0"/>
          <w:numId w:val="15"/>
        </w:numPr>
        <w:suppressAutoHyphens w:val="0"/>
        <w:spacing w:line="300" w:lineRule="exact"/>
        <w:ind w:left="-274"/>
        <w:textAlignment w:val="auto"/>
        <w:rPr>
          <w:rFonts w:cs="Calibri"/>
          <w:sz w:val="20"/>
          <w:szCs w:val="17"/>
          <w:lang w:val="el-GR"/>
        </w:rPr>
      </w:pPr>
      <w:r>
        <w:rPr>
          <w:rFonts w:cs="Calibri"/>
          <w:sz w:val="20"/>
          <w:szCs w:val="17"/>
          <w:lang w:val="el-GR"/>
        </w:rPr>
        <w:t>Δ</w:t>
      </w:r>
      <w:r w:rsidRPr="00635FCD">
        <w:rPr>
          <w:rFonts w:cs="Calibri"/>
          <w:sz w:val="20"/>
          <w:szCs w:val="17"/>
          <w:lang w:val="el-GR"/>
        </w:rPr>
        <w:t xml:space="preserve">είκτης CET1 </w:t>
      </w:r>
      <w:r>
        <w:rPr>
          <w:rFonts w:cs="Calibri"/>
          <w:sz w:val="20"/>
          <w:szCs w:val="17"/>
          <w:lang w:val="el-GR"/>
        </w:rPr>
        <w:t>13</w:t>
      </w:r>
      <w:r w:rsidRPr="00635FCD">
        <w:rPr>
          <w:rFonts w:cs="Calibri"/>
          <w:sz w:val="20"/>
          <w:szCs w:val="17"/>
          <w:lang w:val="el-GR"/>
        </w:rPr>
        <w:t>,</w:t>
      </w:r>
      <w:r>
        <w:rPr>
          <w:rFonts w:cs="Calibri"/>
          <w:sz w:val="20"/>
          <w:szCs w:val="17"/>
          <w:lang w:val="el-GR"/>
        </w:rPr>
        <w:t>8</w:t>
      </w:r>
      <w:r w:rsidRPr="00635FCD">
        <w:rPr>
          <w:rFonts w:cs="Calibri"/>
          <w:sz w:val="20"/>
          <w:szCs w:val="17"/>
          <w:lang w:val="el-GR"/>
        </w:rPr>
        <w:t xml:space="preserve">% </w:t>
      </w:r>
      <w:r>
        <w:rPr>
          <w:rFonts w:cs="Calibri"/>
          <w:sz w:val="20"/>
          <w:szCs w:val="17"/>
          <w:lang w:val="el-GR"/>
        </w:rPr>
        <w:t xml:space="preserve">έναντι τρέχουσας εποπτικής </w:t>
      </w:r>
      <w:r w:rsidR="00D0595B">
        <w:rPr>
          <w:rFonts w:cs="Calibri"/>
          <w:sz w:val="20"/>
          <w:szCs w:val="17"/>
          <w:lang w:val="el-GR"/>
        </w:rPr>
        <w:t>απαίτησης</w:t>
      </w:r>
      <w:r>
        <w:rPr>
          <w:rFonts w:cs="Calibri"/>
          <w:sz w:val="20"/>
          <w:szCs w:val="17"/>
          <w:lang w:val="el-GR"/>
        </w:rPr>
        <w:t xml:space="preserve"> 6,33%</w:t>
      </w:r>
    </w:p>
    <w:p w14:paraId="304A245D" w14:textId="04FDA6E1" w:rsidR="00601324" w:rsidRDefault="00601324" w:rsidP="00601324">
      <w:pPr>
        <w:pStyle w:val="ListParagraph"/>
        <w:numPr>
          <w:ilvl w:val="0"/>
          <w:numId w:val="15"/>
        </w:numPr>
        <w:spacing w:line="300" w:lineRule="exact"/>
        <w:ind w:left="-274"/>
        <w:rPr>
          <w:rFonts w:ascii="Calibri" w:eastAsia="MS Mincho" w:hAnsi="Calibri" w:cs="Calibri"/>
          <w:sz w:val="20"/>
          <w:szCs w:val="17"/>
          <w:lang w:val="el-GR"/>
        </w:rPr>
      </w:pPr>
      <w:r w:rsidRPr="00635FCD">
        <w:rPr>
          <w:rFonts w:ascii="Calibri" w:eastAsia="MS Mincho" w:hAnsi="Calibri" w:cs="Calibri"/>
          <w:sz w:val="20"/>
          <w:szCs w:val="17"/>
          <w:lang w:val="el-GR"/>
        </w:rPr>
        <w:t>Δείκτης κάλυψης ρευστότητας 1</w:t>
      </w:r>
      <w:r>
        <w:rPr>
          <w:rFonts w:ascii="Calibri" w:eastAsia="MS Mincho" w:hAnsi="Calibri" w:cs="Calibri"/>
          <w:sz w:val="20"/>
          <w:szCs w:val="17"/>
          <w:lang w:val="el-GR"/>
        </w:rPr>
        <w:t>75</w:t>
      </w:r>
      <w:r w:rsidRPr="00635FCD">
        <w:rPr>
          <w:rFonts w:ascii="Calibri" w:eastAsia="MS Mincho" w:hAnsi="Calibri" w:cs="Calibri"/>
          <w:sz w:val="20"/>
          <w:szCs w:val="17"/>
          <w:lang w:val="el-GR"/>
        </w:rPr>
        <w:t xml:space="preserve">%, δείκτης δανείων μετά </w:t>
      </w:r>
      <w:r w:rsidR="00D0595B">
        <w:rPr>
          <w:rFonts w:ascii="Calibri" w:eastAsia="MS Mincho" w:hAnsi="Calibri" w:cs="Calibri"/>
          <w:sz w:val="20"/>
          <w:szCs w:val="17"/>
          <w:lang w:val="el-GR"/>
        </w:rPr>
        <w:t xml:space="preserve">από προβλέψεις </w:t>
      </w:r>
      <w:r w:rsidRPr="00635FCD">
        <w:rPr>
          <w:rFonts w:ascii="Calibri" w:eastAsia="MS Mincho" w:hAnsi="Calibri" w:cs="Calibri"/>
          <w:sz w:val="20"/>
          <w:szCs w:val="17"/>
          <w:lang w:val="el-GR"/>
        </w:rPr>
        <w:t xml:space="preserve">προς καταθέσεις </w:t>
      </w:r>
      <w:r>
        <w:rPr>
          <w:rFonts w:ascii="Calibri" w:eastAsia="MS Mincho" w:hAnsi="Calibri" w:cs="Calibri"/>
          <w:sz w:val="20"/>
          <w:szCs w:val="17"/>
          <w:lang w:val="el-GR"/>
        </w:rPr>
        <w:t>77</w:t>
      </w:r>
      <w:r w:rsidRPr="00635FCD">
        <w:rPr>
          <w:rFonts w:ascii="Calibri" w:eastAsia="MS Mincho" w:hAnsi="Calibri" w:cs="Calibri"/>
          <w:sz w:val="20"/>
          <w:szCs w:val="17"/>
          <w:lang w:val="el-GR"/>
        </w:rPr>
        <w:t>%</w:t>
      </w:r>
    </w:p>
    <w:p w14:paraId="2761D2B0" w14:textId="77777777" w:rsidR="00601324" w:rsidRDefault="00601324" w:rsidP="00601324">
      <w:pPr>
        <w:pStyle w:val="ListParagraph"/>
        <w:spacing w:line="300" w:lineRule="exact"/>
        <w:ind w:left="576"/>
        <w:rPr>
          <w:rFonts w:ascii="Calibri" w:eastAsia="MS Mincho" w:hAnsi="Calibri" w:cs="Calibri"/>
          <w:sz w:val="20"/>
          <w:szCs w:val="17"/>
          <w:lang w:val="el-GR"/>
        </w:rPr>
      </w:pPr>
    </w:p>
    <w:p w14:paraId="6EDC67AD" w14:textId="77777777" w:rsidR="00601324" w:rsidRPr="004A3A84" w:rsidRDefault="00601324" w:rsidP="00624A80">
      <w:pPr>
        <w:pStyle w:val="ListParagraph"/>
        <w:spacing w:after="120" w:line="300" w:lineRule="exact"/>
        <w:ind w:left="-629"/>
        <w:rPr>
          <w:rFonts w:ascii="Calibri" w:eastAsia="MS Mincho" w:hAnsi="Calibri" w:cs="Calibri"/>
          <w:b/>
          <w:sz w:val="20"/>
          <w:szCs w:val="17"/>
          <w:lang w:val="el-GR"/>
        </w:rPr>
      </w:pPr>
      <w:r>
        <w:rPr>
          <w:rFonts w:eastAsia="Times New Roman" w:cs="Calibri"/>
          <w:b/>
          <w:color w:val="6691AB"/>
          <w:sz w:val="20"/>
          <w:szCs w:val="20"/>
          <w:lang w:val="el-GR"/>
        </w:rPr>
        <w:t>Ποιότητα Ενεργητικού</w:t>
      </w:r>
    </w:p>
    <w:p w14:paraId="18824B77" w14:textId="3C4A40CF" w:rsidR="00601324" w:rsidRPr="005435FE" w:rsidRDefault="00601324" w:rsidP="00601324">
      <w:pPr>
        <w:pStyle w:val="11"/>
        <w:numPr>
          <w:ilvl w:val="0"/>
          <w:numId w:val="15"/>
        </w:numPr>
        <w:suppressAutoHyphens w:val="0"/>
        <w:spacing w:line="300" w:lineRule="exact"/>
        <w:ind w:left="-274"/>
        <w:textAlignment w:val="auto"/>
        <w:rPr>
          <w:rFonts w:cs="Calibri"/>
          <w:sz w:val="20"/>
          <w:szCs w:val="17"/>
          <w:lang w:val="el-GR"/>
        </w:rPr>
      </w:pPr>
      <w:r>
        <w:rPr>
          <w:rFonts w:cs="Calibri"/>
          <w:sz w:val="20"/>
          <w:szCs w:val="17"/>
          <w:lang w:val="el-GR"/>
        </w:rPr>
        <w:t xml:space="preserve">Οργανική μείωση </w:t>
      </w:r>
      <w:r w:rsidR="00182520">
        <w:rPr>
          <w:rFonts w:cs="Calibri"/>
          <w:sz w:val="20"/>
          <w:szCs w:val="17"/>
        </w:rPr>
        <w:t>NPEs</w:t>
      </w:r>
      <w:r>
        <w:rPr>
          <w:rFonts w:cs="Calibri"/>
          <w:sz w:val="20"/>
          <w:szCs w:val="17"/>
          <w:lang w:val="el-GR"/>
        </w:rPr>
        <w:t xml:space="preserve"> €2 </w:t>
      </w:r>
      <w:r w:rsidR="009979CE">
        <w:rPr>
          <w:rFonts w:cs="Calibri"/>
          <w:sz w:val="20"/>
          <w:szCs w:val="17"/>
          <w:lang w:val="el-GR"/>
        </w:rPr>
        <w:t>δισ.</w:t>
      </w:r>
      <w:r w:rsidRPr="005435FE">
        <w:rPr>
          <w:rFonts w:cs="Calibri"/>
          <w:sz w:val="20"/>
          <w:szCs w:val="17"/>
          <w:lang w:val="el-GR"/>
        </w:rPr>
        <w:t xml:space="preserve"> </w:t>
      </w:r>
      <w:r>
        <w:rPr>
          <w:rFonts w:cs="Calibri"/>
          <w:sz w:val="20"/>
          <w:szCs w:val="17"/>
          <w:lang w:val="el-GR"/>
        </w:rPr>
        <w:t xml:space="preserve">ή 8% εν μέσω της κρίσης του </w:t>
      </w:r>
      <w:r>
        <w:rPr>
          <w:rFonts w:cs="Calibri"/>
          <w:sz w:val="20"/>
          <w:szCs w:val="17"/>
        </w:rPr>
        <w:t>COVID</w:t>
      </w:r>
      <w:r w:rsidRPr="005435FE">
        <w:rPr>
          <w:rFonts w:cs="Calibri"/>
          <w:sz w:val="20"/>
          <w:szCs w:val="17"/>
          <w:lang w:val="el-GR"/>
        </w:rPr>
        <w:t>-19</w:t>
      </w:r>
    </w:p>
    <w:p w14:paraId="5995D232" w14:textId="77777777" w:rsidR="00601324" w:rsidRPr="005435FE" w:rsidRDefault="00601324" w:rsidP="00601324">
      <w:pPr>
        <w:pStyle w:val="11"/>
        <w:numPr>
          <w:ilvl w:val="0"/>
          <w:numId w:val="15"/>
        </w:numPr>
        <w:suppressAutoHyphens w:val="0"/>
        <w:spacing w:line="300" w:lineRule="exact"/>
        <w:ind w:left="-274"/>
        <w:textAlignment w:val="auto"/>
        <w:rPr>
          <w:rFonts w:cs="Calibri"/>
          <w:sz w:val="20"/>
          <w:szCs w:val="17"/>
          <w:lang w:val="el-GR"/>
        </w:rPr>
      </w:pPr>
      <w:r>
        <w:rPr>
          <w:rFonts w:cs="Calibri"/>
          <w:sz w:val="20"/>
          <w:szCs w:val="17"/>
          <w:lang w:val="el-GR"/>
        </w:rPr>
        <w:t>Ικανοποιητικές εκροές παρά την αναστολή διεξαγωγής πλειστηριασμών</w:t>
      </w:r>
    </w:p>
    <w:p w14:paraId="63ADAA51" w14:textId="17F22FF8" w:rsidR="00601324" w:rsidRPr="00A335D7" w:rsidRDefault="00601324" w:rsidP="00601324">
      <w:pPr>
        <w:pStyle w:val="11"/>
        <w:numPr>
          <w:ilvl w:val="0"/>
          <w:numId w:val="15"/>
        </w:numPr>
        <w:suppressAutoHyphens w:val="0"/>
        <w:spacing w:line="300" w:lineRule="exact"/>
        <w:ind w:left="-274"/>
        <w:textAlignment w:val="auto"/>
        <w:rPr>
          <w:rFonts w:cs="Calibri"/>
          <w:sz w:val="20"/>
          <w:szCs w:val="17"/>
          <w:lang w:val="el-GR"/>
        </w:rPr>
      </w:pPr>
      <w:r>
        <w:rPr>
          <w:sz w:val="20"/>
          <w:lang w:val="el-GR"/>
        </w:rPr>
        <w:t xml:space="preserve">35% </w:t>
      </w:r>
      <w:r>
        <w:rPr>
          <w:sz w:val="20"/>
        </w:rPr>
        <w:t>pro</w:t>
      </w:r>
      <w:r w:rsidRPr="005435FE">
        <w:rPr>
          <w:sz w:val="20"/>
          <w:lang w:val="el-GR"/>
        </w:rPr>
        <w:t xml:space="preserve"> </w:t>
      </w:r>
      <w:r>
        <w:rPr>
          <w:sz w:val="20"/>
        </w:rPr>
        <w:t>forma</w:t>
      </w:r>
      <w:r w:rsidRPr="005435FE">
        <w:rPr>
          <w:sz w:val="20"/>
          <w:lang w:val="el-GR"/>
        </w:rPr>
        <w:t xml:space="preserve"> </w:t>
      </w:r>
      <w:r>
        <w:rPr>
          <w:sz w:val="20"/>
          <w:lang w:val="el-GR"/>
        </w:rPr>
        <w:t xml:space="preserve">δείκτης </w:t>
      </w:r>
      <w:r w:rsidR="00624A80">
        <w:rPr>
          <w:sz w:val="20"/>
        </w:rPr>
        <w:t>NPE</w:t>
      </w:r>
      <w:r>
        <w:rPr>
          <w:sz w:val="20"/>
          <w:lang w:val="el-GR"/>
        </w:rPr>
        <w:t xml:space="preserve"> από 49% το 2019 λαμβάνοντας υπόψη τις </w:t>
      </w:r>
      <w:proofErr w:type="spellStart"/>
      <w:r>
        <w:rPr>
          <w:sz w:val="20"/>
          <w:lang w:val="el-GR"/>
        </w:rPr>
        <w:t>τιτλοποιήσεις</w:t>
      </w:r>
      <w:proofErr w:type="spellEnd"/>
      <w:r>
        <w:rPr>
          <w:sz w:val="20"/>
          <w:lang w:val="el-GR"/>
        </w:rPr>
        <w:t xml:space="preserve"> </w:t>
      </w:r>
      <w:r>
        <w:rPr>
          <w:sz w:val="20"/>
        </w:rPr>
        <w:t>Phoenix</w:t>
      </w:r>
      <w:r w:rsidRPr="005435FE">
        <w:rPr>
          <w:sz w:val="20"/>
          <w:lang w:val="el-GR"/>
        </w:rPr>
        <w:t xml:space="preserve"> &amp; </w:t>
      </w:r>
      <w:r>
        <w:rPr>
          <w:sz w:val="20"/>
        </w:rPr>
        <w:t>Vega</w:t>
      </w:r>
      <w:r w:rsidRPr="005435FE">
        <w:rPr>
          <w:sz w:val="20"/>
          <w:lang w:val="el-GR"/>
        </w:rPr>
        <w:t xml:space="preserve"> </w:t>
      </w:r>
      <w:r>
        <w:rPr>
          <w:sz w:val="20"/>
          <w:lang w:val="el-GR"/>
        </w:rPr>
        <w:t xml:space="preserve">ύψους €7 </w:t>
      </w:r>
      <w:r w:rsidR="009979CE">
        <w:rPr>
          <w:sz w:val="20"/>
          <w:lang w:val="el-GR"/>
        </w:rPr>
        <w:t>δισ.</w:t>
      </w:r>
      <w:r w:rsidR="00624A80" w:rsidRPr="00624A80">
        <w:rPr>
          <w:sz w:val="20"/>
          <w:lang w:val="el-GR"/>
        </w:rPr>
        <w:t>,</w:t>
      </w:r>
      <w:r>
        <w:rPr>
          <w:sz w:val="20"/>
          <w:lang w:val="el-GR"/>
        </w:rPr>
        <w:t xml:space="preserve"> για τις οποίες έχουν ήδη υπογραφ</w:t>
      </w:r>
      <w:r w:rsidR="00624A80">
        <w:rPr>
          <w:sz w:val="20"/>
          <w:lang w:val="el-GR"/>
        </w:rPr>
        <w:t>εί</w:t>
      </w:r>
      <w:r>
        <w:rPr>
          <w:sz w:val="20"/>
          <w:lang w:val="el-GR"/>
        </w:rPr>
        <w:t xml:space="preserve"> δεσμευτικές συμφωνίες και για τις οποίες έχει υποβληθεί αίτηση υπαγωγής στο πρόγραμμα παροχής εγγυήσεων «Ηρακλής», υπό την αίρεση λήψης των απαιτούμενων εταιρικών και κανονιστικών εγκρίσεων</w:t>
      </w:r>
    </w:p>
    <w:p w14:paraId="186BE3AF" w14:textId="77777777" w:rsidR="00601324" w:rsidRDefault="00601324">
      <w:pPr>
        <w:rPr>
          <w:rFonts w:eastAsia="Times New Roman" w:cs="Calibri"/>
          <w:b/>
          <w:color w:val="3A73AE" w:themeColor="accent1"/>
          <w:sz w:val="28"/>
          <w:szCs w:val="28"/>
        </w:rPr>
      </w:pPr>
      <w:r>
        <w:rPr>
          <w:rFonts w:eastAsia="Times New Roman" w:cs="Calibri"/>
          <w:b/>
          <w:color w:val="3A73AE" w:themeColor="accent1"/>
          <w:sz w:val="28"/>
          <w:szCs w:val="28"/>
        </w:rPr>
        <w:br w:type="page"/>
      </w:r>
    </w:p>
    <w:p w14:paraId="7E0A6685" w14:textId="3546E2CF" w:rsidR="00236275" w:rsidRDefault="00236275" w:rsidP="00F41FD4">
      <w:pPr>
        <w:ind w:right="-97"/>
        <w:jc w:val="center"/>
        <w:rPr>
          <w:rFonts w:eastAsia="Times New Roman" w:cs="Calibri"/>
          <w:b/>
          <w:color w:val="3A73AE" w:themeColor="accent1"/>
          <w:sz w:val="28"/>
          <w:szCs w:val="28"/>
        </w:rPr>
      </w:pPr>
    </w:p>
    <w:p w14:paraId="700BF420" w14:textId="4C2B541E" w:rsidR="00C1355C" w:rsidRPr="005563F0" w:rsidRDefault="000E36F3" w:rsidP="00C1355C">
      <w:pPr>
        <w:spacing w:after="0" w:line="240" w:lineRule="exact"/>
        <w:ind w:left="-1080"/>
        <w:jc w:val="right"/>
        <w:rPr>
          <w:rFonts w:eastAsia="Times New Roman" w:cs="Calibri"/>
          <w:b/>
          <w:i/>
          <w:color w:val="6691AB"/>
          <w:sz w:val="27"/>
          <w:szCs w:val="27"/>
        </w:rPr>
      </w:pPr>
      <w:r>
        <w:rPr>
          <w:rFonts w:eastAsia="Times New Roman" w:cs="Calibri"/>
          <w:b/>
          <w:i/>
          <w:color w:val="6691AB"/>
          <w:sz w:val="27"/>
          <w:szCs w:val="27"/>
        </w:rPr>
        <w:t xml:space="preserve">Σχέδιο </w:t>
      </w:r>
      <w:proofErr w:type="spellStart"/>
      <w:r w:rsidR="00C1355C" w:rsidRPr="005563F0">
        <w:rPr>
          <w:rFonts w:eastAsia="Times New Roman" w:cs="Calibri"/>
          <w:b/>
          <w:i/>
          <w:color w:val="6691AB"/>
          <w:sz w:val="27"/>
          <w:szCs w:val="27"/>
        </w:rPr>
        <w:t>Sunrise</w:t>
      </w:r>
      <w:proofErr w:type="spellEnd"/>
      <w:r w:rsidR="00C1355C" w:rsidRPr="005563F0">
        <w:rPr>
          <w:rFonts w:eastAsia="Times New Roman" w:cs="Calibri"/>
          <w:b/>
          <w:i/>
          <w:color w:val="6691AB"/>
          <w:sz w:val="27"/>
          <w:szCs w:val="27"/>
        </w:rPr>
        <w:t>: Νέα Τράπεζα Πειραιώς</w:t>
      </w:r>
    </w:p>
    <w:p w14:paraId="15A15A8D" w14:textId="77777777" w:rsidR="00C1355C" w:rsidRPr="005563F0" w:rsidRDefault="00C1355C" w:rsidP="00C1355C">
      <w:pPr>
        <w:shd w:val="clear" w:color="auto" w:fill="FFFFFF" w:themeFill="background1"/>
        <w:tabs>
          <w:tab w:val="left" w:pos="9214"/>
        </w:tabs>
        <w:spacing w:after="40" w:line="300" w:lineRule="exact"/>
        <w:ind w:right="-425"/>
        <w:rPr>
          <w:sz w:val="14"/>
          <w:szCs w:val="14"/>
        </w:rPr>
      </w:pPr>
    </w:p>
    <w:p w14:paraId="6A1B8E7D" w14:textId="3C98DBD7" w:rsidR="00C1355C" w:rsidRPr="005563F0" w:rsidRDefault="00C1355C" w:rsidP="001856A0">
      <w:pPr>
        <w:shd w:val="clear" w:color="auto" w:fill="FFFFFF" w:themeFill="background1"/>
        <w:tabs>
          <w:tab w:val="left" w:pos="9214"/>
        </w:tabs>
        <w:spacing w:after="120" w:line="300" w:lineRule="exact"/>
        <w:ind w:left="-709" w:right="-77"/>
        <w:jc w:val="both"/>
        <w:rPr>
          <w:sz w:val="20"/>
          <w:szCs w:val="20"/>
        </w:rPr>
      </w:pPr>
      <w:r w:rsidRPr="005563F0">
        <w:rPr>
          <w:sz w:val="20"/>
          <w:szCs w:val="20"/>
        </w:rPr>
        <w:t xml:space="preserve">Το Διοικητικό Συμβούλιο της Πειραιώς </w:t>
      </w:r>
      <w:proofErr w:type="spellStart"/>
      <w:r w:rsidRPr="005563F0">
        <w:rPr>
          <w:sz w:val="20"/>
          <w:szCs w:val="20"/>
        </w:rPr>
        <w:t>Financial</w:t>
      </w:r>
      <w:proofErr w:type="spellEnd"/>
      <w:r w:rsidRPr="005563F0">
        <w:rPr>
          <w:sz w:val="20"/>
          <w:szCs w:val="20"/>
        </w:rPr>
        <w:t xml:space="preserve"> Holdings ενέκρινε σήμερα ένα ολιστικό στρατηγικό σχέδιο για να επιταχύνει δραστικά την προσπάθεια μείωσης των </w:t>
      </w:r>
      <w:r w:rsidR="00182520">
        <w:rPr>
          <w:sz w:val="20"/>
          <w:szCs w:val="20"/>
          <w:lang w:val="en-US"/>
        </w:rPr>
        <w:t>NPEs</w:t>
      </w:r>
      <w:r w:rsidRPr="005563F0">
        <w:rPr>
          <w:sz w:val="20"/>
          <w:szCs w:val="20"/>
        </w:rPr>
        <w:t xml:space="preserve"> και να ενισχύσει περαιτέρω την κεφαλαιακή θέση του Ομίλου μέσω ενός συνδυασμού συντονισμένων δράσεων (</w:t>
      </w:r>
      <w:r w:rsidR="0010282C">
        <w:rPr>
          <w:sz w:val="20"/>
          <w:szCs w:val="20"/>
        </w:rPr>
        <w:t xml:space="preserve">σχέδιο </w:t>
      </w:r>
      <w:proofErr w:type="spellStart"/>
      <w:r w:rsidRPr="005563F0">
        <w:rPr>
          <w:sz w:val="20"/>
          <w:szCs w:val="20"/>
        </w:rPr>
        <w:t>Sunrise</w:t>
      </w:r>
      <w:proofErr w:type="spellEnd"/>
      <w:r w:rsidRPr="005563F0">
        <w:rPr>
          <w:sz w:val="20"/>
          <w:szCs w:val="20"/>
        </w:rPr>
        <w:t xml:space="preserve">). Το </w:t>
      </w:r>
      <w:r w:rsidR="0010282C">
        <w:rPr>
          <w:sz w:val="20"/>
          <w:szCs w:val="20"/>
        </w:rPr>
        <w:t xml:space="preserve">σχέδιο </w:t>
      </w:r>
      <w:proofErr w:type="spellStart"/>
      <w:r w:rsidRPr="005563F0">
        <w:rPr>
          <w:sz w:val="20"/>
          <w:szCs w:val="20"/>
        </w:rPr>
        <w:t>Sunrise</w:t>
      </w:r>
      <w:proofErr w:type="spellEnd"/>
      <w:r w:rsidRPr="005563F0">
        <w:rPr>
          <w:sz w:val="20"/>
          <w:szCs w:val="20"/>
        </w:rPr>
        <w:t xml:space="preserve"> θα μειώσει τα μη εξυπηρετούμενα ανοίγματα, διατηρώντας παράλληλα μια ισχυρή κεφαλαιακή θέση και βελτιώνοντας ουσιαστικά τις χρηματοοικονομικές προοπτικές του Ομίλου Πειραιώς.</w:t>
      </w:r>
    </w:p>
    <w:p w14:paraId="3E4B23EE" w14:textId="77777777" w:rsidR="001856A0" w:rsidRDefault="00C1355C" w:rsidP="00842211">
      <w:pPr>
        <w:shd w:val="clear" w:color="auto" w:fill="FFFFFF" w:themeFill="background1"/>
        <w:tabs>
          <w:tab w:val="left" w:pos="9214"/>
        </w:tabs>
        <w:spacing w:after="120" w:line="300" w:lineRule="exact"/>
        <w:ind w:left="-709" w:right="-79"/>
        <w:jc w:val="both"/>
        <w:rPr>
          <w:sz w:val="20"/>
          <w:szCs w:val="20"/>
        </w:rPr>
      </w:pPr>
      <w:r w:rsidRPr="005563F0">
        <w:rPr>
          <w:sz w:val="20"/>
          <w:szCs w:val="20"/>
        </w:rPr>
        <w:t xml:space="preserve">Το σχέδιο </w:t>
      </w:r>
      <w:proofErr w:type="spellStart"/>
      <w:r w:rsidRPr="005563F0">
        <w:rPr>
          <w:sz w:val="20"/>
          <w:szCs w:val="20"/>
        </w:rPr>
        <w:t>Sunrise</w:t>
      </w:r>
      <w:proofErr w:type="spellEnd"/>
      <w:r w:rsidRPr="005563F0">
        <w:rPr>
          <w:sz w:val="20"/>
          <w:szCs w:val="20"/>
        </w:rPr>
        <w:t xml:space="preserve"> περιλαμβάνει τρεις συνδετικούς πυλώνες:</w:t>
      </w:r>
    </w:p>
    <w:p w14:paraId="285851CB" w14:textId="4930EBF1" w:rsidR="00842211" w:rsidRDefault="001856A0" w:rsidP="00842211">
      <w:pPr>
        <w:pStyle w:val="ListParagraph"/>
        <w:numPr>
          <w:ilvl w:val="0"/>
          <w:numId w:val="32"/>
        </w:numPr>
        <w:shd w:val="clear" w:color="auto" w:fill="FFFFFF" w:themeFill="background1"/>
        <w:tabs>
          <w:tab w:val="left" w:pos="9214"/>
        </w:tabs>
        <w:spacing w:after="120" w:line="300" w:lineRule="exact"/>
        <w:ind w:left="-283" w:right="-79" w:hanging="284"/>
        <w:contextualSpacing w:val="0"/>
        <w:jc w:val="both"/>
        <w:rPr>
          <w:sz w:val="20"/>
          <w:szCs w:val="20"/>
          <w:lang w:val="el-GR"/>
        </w:rPr>
      </w:pPr>
      <w:r w:rsidRPr="00842211">
        <w:rPr>
          <w:sz w:val="20"/>
          <w:szCs w:val="20"/>
          <w:lang w:val="el-GR"/>
        </w:rPr>
        <w:t>Ε</w:t>
      </w:r>
      <w:r w:rsidR="00C1355C" w:rsidRPr="00842211">
        <w:rPr>
          <w:sz w:val="20"/>
          <w:szCs w:val="20"/>
          <w:lang w:val="el-GR"/>
        </w:rPr>
        <w:t xml:space="preserve">πιτάχυνση του προγράμματος μείωσης </w:t>
      </w:r>
      <w:r w:rsidR="00182520">
        <w:rPr>
          <w:sz w:val="20"/>
          <w:szCs w:val="20"/>
        </w:rPr>
        <w:t>NPEs</w:t>
      </w:r>
      <w:r w:rsidR="00C1355C" w:rsidRPr="00842211">
        <w:rPr>
          <w:sz w:val="20"/>
          <w:szCs w:val="20"/>
          <w:lang w:val="el-GR"/>
        </w:rPr>
        <w:t xml:space="preserve"> του Ομίλου Πειραιώς μέσω της </w:t>
      </w:r>
      <w:proofErr w:type="spellStart"/>
      <w:r w:rsidR="00C1355C" w:rsidRPr="00842211">
        <w:rPr>
          <w:sz w:val="20"/>
          <w:szCs w:val="20"/>
          <w:lang w:val="el-GR"/>
        </w:rPr>
        <w:t>τιτλοποίησης</w:t>
      </w:r>
      <w:proofErr w:type="spellEnd"/>
      <w:r w:rsidR="00C1355C" w:rsidRPr="00842211">
        <w:rPr>
          <w:sz w:val="20"/>
          <w:szCs w:val="20"/>
          <w:lang w:val="el-GR"/>
        </w:rPr>
        <w:t xml:space="preserve"> και της επακόλουθης </w:t>
      </w:r>
      <w:proofErr w:type="spellStart"/>
      <w:r w:rsidR="009D60F3" w:rsidRPr="00842211">
        <w:rPr>
          <w:sz w:val="20"/>
          <w:szCs w:val="20"/>
          <w:lang w:val="el-GR"/>
        </w:rPr>
        <w:t>αποαναγνώρισης</w:t>
      </w:r>
      <w:proofErr w:type="spellEnd"/>
      <w:r w:rsidR="00C1355C" w:rsidRPr="00842211">
        <w:rPr>
          <w:sz w:val="20"/>
          <w:szCs w:val="20"/>
          <w:lang w:val="el-GR"/>
        </w:rPr>
        <w:t xml:space="preserve"> </w:t>
      </w:r>
      <w:r w:rsidR="00182520">
        <w:rPr>
          <w:sz w:val="20"/>
          <w:szCs w:val="20"/>
        </w:rPr>
        <w:t>NPEs</w:t>
      </w:r>
      <w:r w:rsidR="00C1355C" w:rsidRPr="00842211">
        <w:rPr>
          <w:sz w:val="20"/>
          <w:szCs w:val="20"/>
          <w:lang w:val="el-GR"/>
        </w:rPr>
        <w:t xml:space="preserve"> με συνολική εκτιμώμενη </w:t>
      </w:r>
      <w:r w:rsidR="009D60F3" w:rsidRPr="00842211">
        <w:rPr>
          <w:sz w:val="20"/>
          <w:szCs w:val="20"/>
          <w:lang w:val="el-GR"/>
        </w:rPr>
        <w:t>μεικτή</w:t>
      </w:r>
      <w:r w:rsidR="00C1355C" w:rsidRPr="00842211">
        <w:rPr>
          <w:sz w:val="20"/>
          <w:szCs w:val="20"/>
          <w:lang w:val="el-GR"/>
        </w:rPr>
        <w:t xml:space="preserve"> λογιστική αξία έως και </w:t>
      </w:r>
      <w:r w:rsidR="009D60F3" w:rsidRPr="00842211">
        <w:rPr>
          <w:sz w:val="20"/>
          <w:szCs w:val="20"/>
          <w:lang w:val="el-GR"/>
        </w:rPr>
        <w:t>€</w:t>
      </w:r>
      <w:r w:rsidR="00C1355C" w:rsidRPr="00842211">
        <w:rPr>
          <w:sz w:val="20"/>
          <w:szCs w:val="20"/>
          <w:lang w:val="el-GR"/>
        </w:rPr>
        <w:t xml:space="preserve">19 δισ. (συμπεριλαμβανομένων των </w:t>
      </w:r>
      <w:proofErr w:type="spellStart"/>
      <w:r w:rsidR="00C1355C" w:rsidRPr="00842211">
        <w:rPr>
          <w:sz w:val="20"/>
          <w:szCs w:val="20"/>
          <w:lang w:val="el-GR"/>
        </w:rPr>
        <w:t>τιτλοποιήσεων</w:t>
      </w:r>
      <w:proofErr w:type="spellEnd"/>
      <w:r w:rsidR="00C1355C" w:rsidRPr="00842211">
        <w:rPr>
          <w:sz w:val="20"/>
          <w:szCs w:val="20"/>
          <w:lang w:val="el-GR"/>
        </w:rPr>
        <w:t xml:space="preserve"> που </w:t>
      </w:r>
      <w:r w:rsidR="0010282C">
        <w:rPr>
          <w:sz w:val="20"/>
          <w:szCs w:val="20"/>
          <w:lang w:val="el-GR"/>
        </w:rPr>
        <w:t>έχουν ήδη ανακοινωθεί</w:t>
      </w:r>
      <w:r w:rsidR="00C1355C" w:rsidRPr="00842211">
        <w:rPr>
          <w:sz w:val="20"/>
          <w:szCs w:val="20"/>
          <w:lang w:val="el-GR"/>
        </w:rPr>
        <w:t xml:space="preserve">, </w:t>
      </w:r>
      <w:r w:rsidR="0010282C">
        <w:rPr>
          <w:sz w:val="20"/>
          <w:szCs w:val="20"/>
          <w:lang w:val="el-GR"/>
        </w:rPr>
        <w:t xml:space="preserve">συγκεκριμένα τα </w:t>
      </w:r>
      <w:r w:rsidR="00C1355C" w:rsidRPr="00842211">
        <w:rPr>
          <w:sz w:val="20"/>
          <w:szCs w:val="20"/>
        </w:rPr>
        <w:t>Projects</w:t>
      </w:r>
      <w:r w:rsidR="00C1355C" w:rsidRPr="00842211">
        <w:rPr>
          <w:sz w:val="20"/>
          <w:szCs w:val="20"/>
          <w:lang w:val="el-GR"/>
        </w:rPr>
        <w:t xml:space="preserve"> </w:t>
      </w:r>
      <w:r w:rsidR="00C1355C" w:rsidRPr="00842211">
        <w:rPr>
          <w:sz w:val="20"/>
          <w:szCs w:val="20"/>
        </w:rPr>
        <w:t>Phoenix</w:t>
      </w:r>
      <w:r w:rsidR="00C1355C" w:rsidRPr="00842211">
        <w:rPr>
          <w:sz w:val="20"/>
          <w:szCs w:val="20"/>
          <w:lang w:val="el-GR"/>
        </w:rPr>
        <w:t xml:space="preserve"> και </w:t>
      </w:r>
      <w:r w:rsidR="00C1355C" w:rsidRPr="00842211">
        <w:rPr>
          <w:sz w:val="20"/>
          <w:szCs w:val="20"/>
        </w:rPr>
        <w:t>Vega</w:t>
      </w:r>
      <w:r w:rsidR="00C1355C" w:rsidRPr="00842211">
        <w:rPr>
          <w:sz w:val="20"/>
          <w:szCs w:val="20"/>
          <w:lang w:val="el-GR"/>
        </w:rPr>
        <w:t xml:space="preserve">). Οι επιπλέον </w:t>
      </w:r>
      <w:proofErr w:type="spellStart"/>
      <w:r w:rsidR="00C1355C" w:rsidRPr="00842211">
        <w:rPr>
          <w:sz w:val="20"/>
          <w:szCs w:val="20"/>
          <w:lang w:val="el-GR"/>
        </w:rPr>
        <w:t>τιτλοποιήσεις</w:t>
      </w:r>
      <w:proofErr w:type="spellEnd"/>
      <w:r w:rsidR="00C1355C" w:rsidRPr="00842211">
        <w:rPr>
          <w:sz w:val="20"/>
          <w:szCs w:val="20"/>
          <w:lang w:val="el-GR"/>
        </w:rPr>
        <w:t xml:space="preserve"> </w:t>
      </w:r>
      <w:r w:rsidR="00182520">
        <w:rPr>
          <w:sz w:val="20"/>
          <w:szCs w:val="20"/>
        </w:rPr>
        <w:t>NPEs</w:t>
      </w:r>
      <w:r w:rsidR="00C1355C" w:rsidRPr="00842211">
        <w:rPr>
          <w:sz w:val="20"/>
          <w:szCs w:val="20"/>
          <w:lang w:val="el-GR"/>
        </w:rPr>
        <w:t xml:space="preserve">, </w:t>
      </w:r>
      <w:r w:rsidR="00C1355C" w:rsidRPr="00842211">
        <w:rPr>
          <w:sz w:val="20"/>
          <w:szCs w:val="20"/>
        </w:rPr>
        <w:t>Sunrise</w:t>
      </w:r>
      <w:r w:rsidR="00C1355C" w:rsidRPr="00842211">
        <w:rPr>
          <w:sz w:val="20"/>
          <w:szCs w:val="20"/>
          <w:lang w:val="el-GR"/>
        </w:rPr>
        <w:t xml:space="preserve"> 1 και </w:t>
      </w:r>
      <w:r w:rsidR="00C1355C" w:rsidRPr="00842211">
        <w:rPr>
          <w:sz w:val="20"/>
          <w:szCs w:val="20"/>
        </w:rPr>
        <w:t>Sunrise</w:t>
      </w:r>
      <w:r w:rsidR="00C1355C" w:rsidRPr="00842211">
        <w:rPr>
          <w:sz w:val="20"/>
          <w:szCs w:val="20"/>
          <w:lang w:val="el-GR"/>
        </w:rPr>
        <w:t xml:space="preserve"> 2 με </w:t>
      </w:r>
      <w:r w:rsidR="009D60F3" w:rsidRPr="00842211">
        <w:rPr>
          <w:sz w:val="20"/>
          <w:szCs w:val="20"/>
          <w:lang w:val="el-GR"/>
        </w:rPr>
        <w:t xml:space="preserve">μεικτές </w:t>
      </w:r>
      <w:r w:rsidR="00C1355C" w:rsidRPr="00842211">
        <w:rPr>
          <w:sz w:val="20"/>
          <w:szCs w:val="20"/>
          <w:lang w:val="el-GR"/>
        </w:rPr>
        <w:t xml:space="preserve">λογιστικές αξίες </w:t>
      </w:r>
      <w:r w:rsidR="009D60F3" w:rsidRPr="00842211">
        <w:rPr>
          <w:sz w:val="20"/>
          <w:szCs w:val="20"/>
          <w:lang w:val="el-GR"/>
        </w:rPr>
        <w:t>€</w:t>
      </w:r>
      <w:r w:rsidR="00C1355C" w:rsidRPr="00842211">
        <w:rPr>
          <w:sz w:val="20"/>
          <w:szCs w:val="20"/>
          <w:lang w:val="el-GR"/>
        </w:rPr>
        <w:t xml:space="preserve">7 </w:t>
      </w:r>
      <w:r w:rsidR="009979CE">
        <w:rPr>
          <w:sz w:val="20"/>
          <w:szCs w:val="20"/>
          <w:lang w:val="el-GR"/>
        </w:rPr>
        <w:t>δισ.</w:t>
      </w:r>
      <w:r w:rsidR="009D60F3" w:rsidRPr="00842211">
        <w:rPr>
          <w:sz w:val="20"/>
          <w:szCs w:val="20"/>
          <w:lang w:val="el-GR"/>
        </w:rPr>
        <w:t xml:space="preserve"> </w:t>
      </w:r>
      <w:r w:rsidR="00C1355C" w:rsidRPr="00842211">
        <w:rPr>
          <w:sz w:val="20"/>
          <w:szCs w:val="20"/>
          <w:lang w:val="el-GR"/>
        </w:rPr>
        <w:t xml:space="preserve">και </w:t>
      </w:r>
      <w:r w:rsidR="009D60F3" w:rsidRPr="00842211">
        <w:rPr>
          <w:sz w:val="20"/>
          <w:szCs w:val="20"/>
          <w:lang w:val="el-GR"/>
        </w:rPr>
        <w:t xml:space="preserve"> €</w:t>
      </w:r>
      <w:r w:rsidR="00C1355C" w:rsidRPr="00842211">
        <w:rPr>
          <w:sz w:val="20"/>
          <w:szCs w:val="20"/>
          <w:lang w:val="el-GR"/>
        </w:rPr>
        <w:t xml:space="preserve">4 </w:t>
      </w:r>
      <w:r w:rsidR="009979CE">
        <w:rPr>
          <w:sz w:val="20"/>
          <w:szCs w:val="20"/>
          <w:lang w:val="el-GR"/>
        </w:rPr>
        <w:t>δισ.</w:t>
      </w:r>
      <w:r w:rsidR="009D60F3" w:rsidRPr="00842211">
        <w:rPr>
          <w:sz w:val="20"/>
          <w:szCs w:val="20"/>
          <w:lang w:val="el-GR"/>
        </w:rPr>
        <w:t xml:space="preserve"> </w:t>
      </w:r>
      <w:r w:rsidR="00C1355C" w:rsidRPr="00842211">
        <w:rPr>
          <w:sz w:val="20"/>
          <w:szCs w:val="20"/>
          <w:lang w:val="el-GR"/>
        </w:rPr>
        <w:t xml:space="preserve">αντίστοιχα, προβλέπεται να </w:t>
      </w:r>
      <w:r w:rsidR="009D60F3" w:rsidRPr="00842211">
        <w:rPr>
          <w:sz w:val="20"/>
          <w:szCs w:val="20"/>
          <w:lang w:val="el-GR"/>
        </w:rPr>
        <w:t>υλοποιηθούν</w:t>
      </w:r>
      <w:r w:rsidR="00C1355C" w:rsidRPr="00842211">
        <w:rPr>
          <w:sz w:val="20"/>
          <w:szCs w:val="20"/>
          <w:lang w:val="el-GR"/>
        </w:rPr>
        <w:t xml:space="preserve"> χρησιμοποιώντας το Ελληνικό Σχέδιο Προστασίας Περιουσιακών Στοιχείων 2 ("</w:t>
      </w:r>
      <w:r w:rsidR="00C1355C" w:rsidRPr="00842211">
        <w:rPr>
          <w:sz w:val="20"/>
          <w:szCs w:val="20"/>
        </w:rPr>
        <w:t>HAPS</w:t>
      </w:r>
      <w:r w:rsidR="00C1355C" w:rsidRPr="00842211">
        <w:rPr>
          <w:sz w:val="20"/>
          <w:szCs w:val="20"/>
          <w:lang w:val="el-GR"/>
        </w:rPr>
        <w:t>2"). Τα χρε</w:t>
      </w:r>
      <w:r w:rsidR="009D60F3" w:rsidRPr="00842211">
        <w:rPr>
          <w:sz w:val="20"/>
          <w:szCs w:val="20"/>
          <w:lang w:val="el-GR"/>
        </w:rPr>
        <w:t>ό</w:t>
      </w:r>
      <w:r w:rsidR="00C1355C" w:rsidRPr="00842211">
        <w:rPr>
          <w:sz w:val="20"/>
          <w:szCs w:val="20"/>
          <w:lang w:val="el-GR"/>
        </w:rPr>
        <w:t>γραφα υψηλής εξοφλητικής προτεραιότητας (</w:t>
      </w:r>
      <w:r w:rsidR="00C1355C" w:rsidRPr="00842211">
        <w:rPr>
          <w:sz w:val="20"/>
          <w:szCs w:val="20"/>
        </w:rPr>
        <w:t>senior</w:t>
      </w:r>
      <w:r w:rsidR="00C1355C" w:rsidRPr="00842211">
        <w:rPr>
          <w:sz w:val="20"/>
          <w:szCs w:val="20"/>
          <w:lang w:val="el-GR"/>
        </w:rPr>
        <w:t xml:space="preserve"> </w:t>
      </w:r>
      <w:r w:rsidR="00C1355C" w:rsidRPr="00842211">
        <w:rPr>
          <w:sz w:val="20"/>
          <w:szCs w:val="20"/>
        </w:rPr>
        <w:t>notes</w:t>
      </w:r>
      <w:r w:rsidR="00C1355C" w:rsidRPr="00842211">
        <w:rPr>
          <w:sz w:val="20"/>
          <w:szCs w:val="20"/>
          <w:lang w:val="el-GR"/>
        </w:rPr>
        <w:t xml:space="preserve">)  περίπου </w:t>
      </w:r>
      <w:r w:rsidR="009D60F3" w:rsidRPr="00842211">
        <w:rPr>
          <w:sz w:val="20"/>
          <w:szCs w:val="20"/>
          <w:lang w:val="el-GR"/>
        </w:rPr>
        <w:t>€</w:t>
      </w:r>
      <w:r w:rsidR="00C1355C" w:rsidRPr="00842211">
        <w:rPr>
          <w:sz w:val="20"/>
          <w:szCs w:val="20"/>
          <w:lang w:val="el-GR"/>
        </w:rPr>
        <w:t xml:space="preserve">6,5 </w:t>
      </w:r>
      <w:r w:rsidR="009979CE">
        <w:rPr>
          <w:sz w:val="20"/>
          <w:szCs w:val="20"/>
          <w:lang w:val="el-GR"/>
        </w:rPr>
        <w:t>δισ.</w:t>
      </w:r>
      <w:r w:rsidR="009D60F3" w:rsidRPr="00842211">
        <w:rPr>
          <w:sz w:val="20"/>
          <w:szCs w:val="20"/>
          <w:lang w:val="el-GR"/>
        </w:rPr>
        <w:t xml:space="preserve"> </w:t>
      </w:r>
      <w:r w:rsidR="00C1355C" w:rsidRPr="00842211">
        <w:rPr>
          <w:sz w:val="20"/>
          <w:szCs w:val="20"/>
          <w:lang w:val="el-GR"/>
        </w:rPr>
        <w:t xml:space="preserve">θα </w:t>
      </w:r>
      <w:proofErr w:type="spellStart"/>
      <w:r w:rsidR="009D60F3" w:rsidRPr="00842211">
        <w:rPr>
          <w:sz w:val="20"/>
          <w:szCs w:val="20"/>
          <w:lang w:val="el-GR"/>
        </w:rPr>
        <w:t>διακρατηθούν</w:t>
      </w:r>
      <w:proofErr w:type="spellEnd"/>
      <w:r w:rsidR="009D60F3" w:rsidRPr="00842211">
        <w:rPr>
          <w:sz w:val="20"/>
          <w:szCs w:val="20"/>
          <w:lang w:val="el-GR"/>
        </w:rPr>
        <w:t xml:space="preserve"> </w:t>
      </w:r>
      <w:r w:rsidR="00C1355C" w:rsidRPr="00842211">
        <w:rPr>
          <w:sz w:val="20"/>
          <w:szCs w:val="20"/>
          <w:lang w:val="el-GR"/>
        </w:rPr>
        <w:t>από τον Όμιλο</w:t>
      </w:r>
      <w:r w:rsidR="0010282C">
        <w:rPr>
          <w:sz w:val="20"/>
          <w:szCs w:val="20"/>
          <w:lang w:val="el-GR"/>
        </w:rPr>
        <w:t>,</w:t>
      </w:r>
      <w:r w:rsidR="00C1355C" w:rsidRPr="00842211">
        <w:rPr>
          <w:sz w:val="20"/>
          <w:szCs w:val="20"/>
          <w:lang w:val="el-GR"/>
        </w:rPr>
        <w:t xml:space="preserve"> ενώ η πλειοψηφία των μεσαίας και χαμηλής προεξοφλητικής προτεραιότητας </w:t>
      </w:r>
      <w:r w:rsidR="00337141" w:rsidRPr="00842211">
        <w:rPr>
          <w:sz w:val="20"/>
          <w:szCs w:val="20"/>
          <w:lang w:val="el-GR"/>
        </w:rPr>
        <w:t>χρεογράφων</w:t>
      </w:r>
      <w:r w:rsidR="00C1355C" w:rsidRPr="00842211">
        <w:rPr>
          <w:sz w:val="20"/>
          <w:szCs w:val="20"/>
          <w:lang w:val="el-GR"/>
        </w:rPr>
        <w:t xml:space="preserve">  σχεδιάζεται να διανεμηθεί στους μετόχους τ</w:t>
      </w:r>
      <w:r w:rsidR="0010282C">
        <w:rPr>
          <w:sz w:val="20"/>
          <w:szCs w:val="20"/>
          <w:lang w:val="el-GR"/>
        </w:rPr>
        <w:t>ου</w:t>
      </w:r>
      <w:r w:rsidR="00C1355C" w:rsidRPr="00842211">
        <w:rPr>
          <w:sz w:val="20"/>
          <w:szCs w:val="20"/>
          <w:lang w:val="el-GR"/>
        </w:rPr>
        <w:t xml:space="preserve"> Ομίλου (υπό την επιφύλαξη </w:t>
      </w:r>
      <w:r w:rsidR="0010282C">
        <w:rPr>
          <w:sz w:val="20"/>
          <w:szCs w:val="20"/>
          <w:lang w:val="el-GR"/>
        </w:rPr>
        <w:t xml:space="preserve">λήψης των </w:t>
      </w:r>
      <w:r w:rsidR="009D60F3" w:rsidRPr="00842211">
        <w:rPr>
          <w:sz w:val="20"/>
          <w:szCs w:val="20"/>
          <w:lang w:val="el-GR"/>
        </w:rPr>
        <w:t xml:space="preserve">εταιρικών και κανονιστικών </w:t>
      </w:r>
      <w:r w:rsidR="00C1355C" w:rsidRPr="00842211">
        <w:rPr>
          <w:sz w:val="20"/>
          <w:szCs w:val="20"/>
          <w:lang w:val="el-GR"/>
        </w:rPr>
        <w:t xml:space="preserve">εγκρίσεων). Επιπλέον, </w:t>
      </w:r>
      <w:r w:rsidR="009D60F3" w:rsidRPr="00842211">
        <w:rPr>
          <w:sz w:val="20"/>
          <w:szCs w:val="20"/>
          <w:lang w:val="el-GR"/>
        </w:rPr>
        <w:t>επικουρώντας την προσπάθεια εξυγίανσης του ενεργητικού</w:t>
      </w:r>
      <w:r w:rsidR="0010282C">
        <w:rPr>
          <w:sz w:val="20"/>
          <w:szCs w:val="20"/>
          <w:lang w:val="el-GR"/>
        </w:rPr>
        <w:t>,</w:t>
      </w:r>
      <w:r w:rsidR="009D60F3" w:rsidRPr="00842211">
        <w:rPr>
          <w:sz w:val="20"/>
          <w:szCs w:val="20"/>
          <w:lang w:val="el-GR"/>
        </w:rPr>
        <w:t xml:space="preserve"> </w:t>
      </w:r>
      <w:r w:rsidR="00842211" w:rsidRPr="00842211">
        <w:rPr>
          <w:sz w:val="20"/>
          <w:szCs w:val="20"/>
          <w:lang w:val="el-GR"/>
        </w:rPr>
        <w:t xml:space="preserve">διερευνάται η πώληση </w:t>
      </w:r>
      <w:r w:rsidR="00C1355C" w:rsidRPr="00842211">
        <w:rPr>
          <w:sz w:val="20"/>
          <w:szCs w:val="20"/>
          <w:lang w:val="el-GR"/>
        </w:rPr>
        <w:t xml:space="preserve">εκτός του πλαισίου </w:t>
      </w:r>
      <w:r w:rsidR="00C1355C" w:rsidRPr="00842211">
        <w:rPr>
          <w:sz w:val="20"/>
          <w:szCs w:val="20"/>
        </w:rPr>
        <w:t>HAPS</w:t>
      </w:r>
      <w:r w:rsidR="00C1355C" w:rsidRPr="00842211">
        <w:rPr>
          <w:sz w:val="20"/>
          <w:szCs w:val="20"/>
          <w:lang w:val="el-GR"/>
        </w:rPr>
        <w:t>2</w:t>
      </w:r>
      <w:r w:rsidR="00842211" w:rsidRPr="00842211">
        <w:rPr>
          <w:sz w:val="20"/>
          <w:szCs w:val="20"/>
          <w:lang w:val="el-GR"/>
        </w:rPr>
        <w:t xml:space="preserve"> επιλεγμένων χαρτοφυλακίων </w:t>
      </w:r>
      <w:r w:rsidR="00182520">
        <w:rPr>
          <w:sz w:val="20"/>
          <w:szCs w:val="20"/>
        </w:rPr>
        <w:t>NPEs</w:t>
      </w:r>
      <w:r w:rsidR="00842211" w:rsidRPr="00842211">
        <w:rPr>
          <w:sz w:val="20"/>
          <w:szCs w:val="20"/>
          <w:lang w:val="el-GR"/>
        </w:rPr>
        <w:t xml:space="preserve"> με συνολική μεικτή λογιστική αξία έως και €1,5 δισ</w:t>
      </w:r>
      <w:r w:rsidR="00C1355C" w:rsidRPr="00842211">
        <w:rPr>
          <w:sz w:val="20"/>
          <w:szCs w:val="20"/>
          <w:lang w:val="el-GR"/>
        </w:rPr>
        <w:t xml:space="preserve">. </w:t>
      </w:r>
      <w:r w:rsidR="00842211" w:rsidRPr="00842211">
        <w:rPr>
          <w:sz w:val="20"/>
          <w:szCs w:val="20"/>
          <w:lang w:val="el-GR"/>
        </w:rPr>
        <w:t xml:space="preserve">Η Τράπεζα </w:t>
      </w:r>
      <w:r w:rsidR="00C1355C" w:rsidRPr="00842211">
        <w:rPr>
          <w:sz w:val="20"/>
          <w:szCs w:val="20"/>
          <w:lang w:val="el-GR"/>
        </w:rPr>
        <w:t xml:space="preserve">Πειραιώς </w:t>
      </w:r>
      <w:r w:rsidR="00842211" w:rsidRPr="00842211">
        <w:rPr>
          <w:sz w:val="20"/>
          <w:szCs w:val="20"/>
          <w:lang w:val="el-GR"/>
        </w:rPr>
        <w:t xml:space="preserve">στοχεύει να </w:t>
      </w:r>
      <w:r w:rsidR="00C1355C" w:rsidRPr="00842211">
        <w:rPr>
          <w:sz w:val="20"/>
          <w:szCs w:val="20"/>
          <w:lang w:val="el-GR"/>
        </w:rPr>
        <w:t xml:space="preserve">επιτύχει μονοψήφιο </w:t>
      </w:r>
      <w:r w:rsidR="00842211" w:rsidRPr="00842211">
        <w:rPr>
          <w:sz w:val="20"/>
          <w:szCs w:val="20"/>
          <w:lang w:val="el-GR"/>
        </w:rPr>
        <w:t xml:space="preserve">δείκτη </w:t>
      </w:r>
      <w:r w:rsidR="0010282C">
        <w:rPr>
          <w:sz w:val="20"/>
          <w:szCs w:val="20"/>
        </w:rPr>
        <w:t>NPE</w:t>
      </w:r>
      <w:r w:rsidR="00C1355C" w:rsidRPr="00842211">
        <w:rPr>
          <w:sz w:val="20"/>
          <w:szCs w:val="20"/>
          <w:lang w:val="el-GR"/>
        </w:rPr>
        <w:t xml:space="preserve"> μετά την ολοκλήρωση αυτών των </w:t>
      </w:r>
      <w:r w:rsidR="00842211" w:rsidRPr="00842211">
        <w:rPr>
          <w:sz w:val="20"/>
          <w:szCs w:val="20"/>
          <w:lang w:val="el-GR"/>
        </w:rPr>
        <w:t>πωλήσεων</w:t>
      </w:r>
      <w:r w:rsidR="00C1355C" w:rsidRPr="00842211">
        <w:rPr>
          <w:sz w:val="20"/>
          <w:szCs w:val="20"/>
          <w:lang w:val="el-GR"/>
        </w:rPr>
        <w:t>, εντός των επόμενων 12 μηνών.</w:t>
      </w:r>
    </w:p>
    <w:p w14:paraId="2A7C4A30" w14:textId="76B43C6D" w:rsidR="00C1355C" w:rsidRPr="00842211" w:rsidRDefault="0010282C" w:rsidP="00842211">
      <w:pPr>
        <w:pStyle w:val="ListParagraph"/>
        <w:numPr>
          <w:ilvl w:val="0"/>
          <w:numId w:val="32"/>
        </w:numPr>
        <w:shd w:val="clear" w:color="auto" w:fill="FFFFFF" w:themeFill="background1"/>
        <w:tabs>
          <w:tab w:val="left" w:pos="9214"/>
        </w:tabs>
        <w:spacing w:after="120" w:line="300" w:lineRule="exact"/>
        <w:ind w:left="-283" w:right="-79" w:hanging="284"/>
        <w:contextualSpacing w:val="0"/>
        <w:jc w:val="both"/>
        <w:rPr>
          <w:sz w:val="20"/>
          <w:szCs w:val="20"/>
          <w:lang w:val="el-GR"/>
        </w:rPr>
      </w:pPr>
      <w:r>
        <w:rPr>
          <w:sz w:val="20"/>
          <w:szCs w:val="20"/>
          <w:lang w:val="el-GR"/>
        </w:rPr>
        <w:t>Σ</w:t>
      </w:r>
      <w:r w:rsidR="00C1355C" w:rsidRPr="00842211">
        <w:rPr>
          <w:sz w:val="20"/>
          <w:szCs w:val="20"/>
          <w:lang w:val="el-GR"/>
        </w:rPr>
        <w:t xml:space="preserve">ειρά ενεργειών </w:t>
      </w:r>
      <w:r w:rsidR="00E64201">
        <w:rPr>
          <w:sz w:val="20"/>
          <w:szCs w:val="20"/>
          <w:lang w:val="el-GR"/>
        </w:rPr>
        <w:t xml:space="preserve">κεφαλαιακής </w:t>
      </w:r>
      <w:r w:rsidR="00C1355C" w:rsidRPr="00842211">
        <w:rPr>
          <w:sz w:val="20"/>
          <w:szCs w:val="20"/>
          <w:lang w:val="el-GR"/>
        </w:rPr>
        <w:t xml:space="preserve">ενίσχυσης, με σωρευτικό όφελος περίπου </w:t>
      </w:r>
      <w:r>
        <w:rPr>
          <w:sz w:val="20"/>
          <w:szCs w:val="20"/>
          <w:lang w:val="el-GR"/>
        </w:rPr>
        <w:t>€</w:t>
      </w:r>
      <w:r w:rsidR="00C1355C" w:rsidRPr="00842211">
        <w:rPr>
          <w:sz w:val="20"/>
          <w:szCs w:val="20"/>
          <w:lang w:val="el-GR"/>
        </w:rPr>
        <w:t xml:space="preserve">2,6 </w:t>
      </w:r>
      <w:r w:rsidR="009979CE">
        <w:rPr>
          <w:sz w:val="20"/>
          <w:szCs w:val="20"/>
          <w:lang w:val="el-GR"/>
        </w:rPr>
        <w:t>δισ.</w:t>
      </w:r>
      <w:r w:rsidR="00C1355C" w:rsidRPr="00842211">
        <w:rPr>
          <w:sz w:val="20"/>
          <w:szCs w:val="20"/>
          <w:lang w:val="el-GR"/>
        </w:rPr>
        <w:t>:</w:t>
      </w:r>
    </w:p>
    <w:p w14:paraId="1BA1BB82" w14:textId="1BF2FBCC" w:rsidR="0010282C" w:rsidRPr="0010282C" w:rsidRDefault="00C1355C" w:rsidP="00337141">
      <w:pPr>
        <w:pStyle w:val="ListParagraph"/>
        <w:numPr>
          <w:ilvl w:val="0"/>
          <w:numId w:val="34"/>
        </w:numPr>
        <w:shd w:val="clear" w:color="auto" w:fill="FFFFFF" w:themeFill="background1"/>
        <w:tabs>
          <w:tab w:val="left" w:pos="9214"/>
        </w:tabs>
        <w:spacing w:after="120" w:line="300" w:lineRule="exact"/>
        <w:ind w:right="-77"/>
        <w:jc w:val="both"/>
        <w:rPr>
          <w:sz w:val="20"/>
          <w:szCs w:val="20"/>
          <w:lang w:val="el-GR"/>
        </w:rPr>
      </w:pPr>
      <w:r w:rsidRPr="0010282C">
        <w:rPr>
          <w:sz w:val="20"/>
          <w:szCs w:val="20"/>
          <w:lang w:val="el-GR"/>
        </w:rPr>
        <w:t xml:space="preserve">Αύξηση μετοχικού κεφαλαίου </w:t>
      </w:r>
      <w:r w:rsidR="00842211" w:rsidRPr="0010282C">
        <w:rPr>
          <w:sz w:val="20"/>
          <w:szCs w:val="20"/>
          <w:lang w:val="el-GR"/>
        </w:rPr>
        <w:t xml:space="preserve">της Πειραιώς </w:t>
      </w:r>
      <w:r w:rsidR="00E64201">
        <w:rPr>
          <w:sz w:val="20"/>
          <w:szCs w:val="20"/>
        </w:rPr>
        <w:t>Financial</w:t>
      </w:r>
      <w:r w:rsidR="00E64201" w:rsidRPr="00E64201">
        <w:rPr>
          <w:sz w:val="20"/>
          <w:szCs w:val="20"/>
          <w:lang w:val="el-GR"/>
        </w:rPr>
        <w:t xml:space="preserve"> </w:t>
      </w:r>
      <w:r w:rsidR="00E64201">
        <w:rPr>
          <w:sz w:val="20"/>
          <w:szCs w:val="20"/>
        </w:rPr>
        <w:t>Holdings</w:t>
      </w:r>
      <w:r w:rsidR="00E64201" w:rsidRPr="00E64201">
        <w:rPr>
          <w:sz w:val="20"/>
          <w:szCs w:val="20"/>
          <w:lang w:val="el-GR"/>
        </w:rPr>
        <w:t xml:space="preserve"> </w:t>
      </w:r>
      <w:r w:rsidRPr="0010282C">
        <w:rPr>
          <w:sz w:val="20"/>
          <w:szCs w:val="20"/>
          <w:lang w:val="el-GR"/>
        </w:rPr>
        <w:t xml:space="preserve">μέσω δημόσιας προσφοράς </w:t>
      </w:r>
      <w:r w:rsidR="00842211" w:rsidRPr="0010282C">
        <w:rPr>
          <w:sz w:val="20"/>
          <w:szCs w:val="20"/>
          <w:lang w:val="el-GR"/>
        </w:rPr>
        <w:t xml:space="preserve">με κατάργηση </w:t>
      </w:r>
      <w:r w:rsidRPr="0010282C">
        <w:rPr>
          <w:sz w:val="20"/>
          <w:szCs w:val="20"/>
          <w:lang w:val="el-GR"/>
        </w:rPr>
        <w:t xml:space="preserve">δικαιωμάτων </w:t>
      </w:r>
      <w:r w:rsidR="00E64201">
        <w:rPr>
          <w:sz w:val="20"/>
          <w:szCs w:val="20"/>
          <w:lang w:val="el-GR"/>
        </w:rPr>
        <w:t xml:space="preserve">προτίμησης </w:t>
      </w:r>
      <w:r w:rsidR="00842211" w:rsidRPr="0010282C">
        <w:rPr>
          <w:sz w:val="20"/>
          <w:szCs w:val="20"/>
          <w:lang w:val="el-GR"/>
        </w:rPr>
        <w:t xml:space="preserve">ύψους </w:t>
      </w:r>
      <w:r w:rsidRPr="0010282C">
        <w:rPr>
          <w:sz w:val="20"/>
          <w:szCs w:val="20"/>
          <w:lang w:val="el-GR"/>
        </w:rPr>
        <w:t xml:space="preserve">€1,0 </w:t>
      </w:r>
      <w:r w:rsidR="009979CE">
        <w:rPr>
          <w:sz w:val="20"/>
          <w:szCs w:val="20"/>
          <w:lang w:val="el-GR"/>
        </w:rPr>
        <w:t>δισ.</w:t>
      </w:r>
      <w:r w:rsidRPr="0010282C">
        <w:rPr>
          <w:sz w:val="20"/>
          <w:szCs w:val="20"/>
          <w:lang w:val="el-GR"/>
        </w:rPr>
        <w:t xml:space="preserve">. Η </w:t>
      </w:r>
      <w:r w:rsidR="00E64201">
        <w:rPr>
          <w:sz w:val="20"/>
          <w:szCs w:val="20"/>
          <w:lang w:val="el-GR"/>
        </w:rPr>
        <w:t xml:space="preserve">αύξηση </w:t>
      </w:r>
      <w:r w:rsidRPr="0010282C">
        <w:rPr>
          <w:sz w:val="20"/>
          <w:szCs w:val="20"/>
          <w:lang w:val="el-GR"/>
        </w:rPr>
        <w:t xml:space="preserve">μετοχικού κεφαλαίου, μαζί με τις υπόλοιπες εταιρικές ενέργειες που ενισχύουν τα κεφάλαια, θα </w:t>
      </w:r>
      <w:r w:rsidR="00B158E9">
        <w:rPr>
          <w:sz w:val="20"/>
          <w:szCs w:val="20"/>
          <w:lang w:val="el-GR"/>
        </w:rPr>
        <w:t>ισχυροποιήσουν</w:t>
      </w:r>
      <w:r w:rsidR="00E64201">
        <w:rPr>
          <w:sz w:val="20"/>
          <w:szCs w:val="20"/>
          <w:lang w:val="el-GR"/>
        </w:rPr>
        <w:t xml:space="preserve"> </w:t>
      </w:r>
      <w:r w:rsidRPr="0010282C">
        <w:rPr>
          <w:sz w:val="20"/>
          <w:szCs w:val="20"/>
          <w:lang w:val="el-GR"/>
        </w:rPr>
        <w:t xml:space="preserve">την ικανότητα της Τράπεζας να απορροφήσει ζημίες που απορρέουν από την επιταχυνόμενη μείωση των </w:t>
      </w:r>
      <w:r w:rsidR="00182520">
        <w:rPr>
          <w:sz w:val="20"/>
          <w:szCs w:val="20"/>
        </w:rPr>
        <w:t>NPEs</w:t>
      </w:r>
      <w:r w:rsidRPr="0010282C">
        <w:rPr>
          <w:sz w:val="20"/>
          <w:szCs w:val="20"/>
          <w:lang w:val="el-GR"/>
        </w:rPr>
        <w:t xml:space="preserve"> ύψους </w:t>
      </w:r>
      <w:r w:rsidR="00C2613E">
        <w:rPr>
          <w:sz w:val="20"/>
          <w:szCs w:val="20"/>
          <w:lang w:val="el-GR"/>
        </w:rPr>
        <w:t xml:space="preserve">περίπου </w:t>
      </w:r>
      <w:r w:rsidR="00E64201">
        <w:rPr>
          <w:sz w:val="20"/>
          <w:szCs w:val="20"/>
          <w:lang w:val="el-GR"/>
        </w:rPr>
        <w:t>€</w:t>
      </w:r>
      <w:r w:rsidRPr="0010282C">
        <w:rPr>
          <w:sz w:val="20"/>
          <w:szCs w:val="20"/>
          <w:lang w:val="el-GR"/>
        </w:rPr>
        <w:t xml:space="preserve">12 </w:t>
      </w:r>
      <w:r w:rsidR="009979CE">
        <w:rPr>
          <w:sz w:val="20"/>
          <w:szCs w:val="20"/>
          <w:lang w:val="el-GR"/>
        </w:rPr>
        <w:t>δισ</w:t>
      </w:r>
      <w:r w:rsidRPr="0010282C">
        <w:rPr>
          <w:sz w:val="20"/>
          <w:szCs w:val="20"/>
          <w:lang w:val="el-GR"/>
        </w:rPr>
        <w:t xml:space="preserve">. Οι όροι της </w:t>
      </w:r>
      <w:r w:rsidR="00E64201">
        <w:rPr>
          <w:sz w:val="20"/>
          <w:szCs w:val="20"/>
          <w:lang w:val="el-GR"/>
        </w:rPr>
        <w:t>αύξησης</w:t>
      </w:r>
      <w:r w:rsidRPr="0010282C">
        <w:rPr>
          <w:sz w:val="20"/>
          <w:szCs w:val="20"/>
          <w:lang w:val="el-GR"/>
        </w:rPr>
        <w:t xml:space="preserve"> </w:t>
      </w:r>
      <w:r w:rsidR="00E64201">
        <w:rPr>
          <w:sz w:val="20"/>
          <w:szCs w:val="20"/>
          <w:lang w:val="el-GR"/>
        </w:rPr>
        <w:t>μ</w:t>
      </w:r>
      <w:r w:rsidRPr="0010282C">
        <w:rPr>
          <w:sz w:val="20"/>
          <w:szCs w:val="20"/>
          <w:lang w:val="el-GR"/>
        </w:rPr>
        <w:t xml:space="preserve">ετοχικού </w:t>
      </w:r>
      <w:r w:rsidR="00E64201">
        <w:rPr>
          <w:sz w:val="20"/>
          <w:szCs w:val="20"/>
          <w:lang w:val="el-GR"/>
        </w:rPr>
        <w:t>κ</w:t>
      </w:r>
      <w:r w:rsidRPr="0010282C">
        <w:rPr>
          <w:sz w:val="20"/>
          <w:szCs w:val="20"/>
          <w:lang w:val="el-GR"/>
        </w:rPr>
        <w:t>εφαλαίου αναμένεται να καθοριστούν από το Διοικητικό Συμβούλιο (</w:t>
      </w:r>
      <w:r w:rsidR="00F131E7">
        <w:rPr>
          <w:sz w:val="20"/>
          <w:szCs w:val="20"/>
          <w:lang w:val="el-GR"/>
        </w:rPr>
        <w:t>υπό την αίρεση λήψης των απαιτούμενων εταιρικών και κανονιστικών εγκρίσεων, συμπεριλαμβανομένης της συγκατάθεσης του Ταμείου Χρηματοπιστωτικής Σταθερότητας</w:t>
      </w:r>
      <w:r w:rsidR="00B158E9">
        <w:rPr>
          <w:sz w:val="20"/>
          <w:szCs w:val="20"/>
          <w:lang w:val="el-GR"/>
        </w:rPr>
        <w:t>)</w:t>
      </w:r>
    </w:p>
    <w:p w14:paraId="3C7EF810" w14:textId="0E02F488" w:rsidR="0010282C" w:rsidRPr="0010282C" w:rsidRDefault="00C1355C" w:rsidP="00337141">
      <w:pPr>
        <w:pStyle w:val="ListParagraph"/>
        <w:numPr>
          <w:ilvl w:val="0"/>
          <w:numId w:val="34"/>
        </w:numPr>
        <w:shd w:val="clear" w:color="auto" w:fill="FFFFFF" w:themeFill="background1"/>
        <w:tabs>
          <w:tab w:val="left" w:pos="9214"/>
        </w:tabs>
        <w:spacing w:after="120" w:line="300" w:lineRule="exact"/>
        <w:ind w:right="-77"/>
        <w:jc w:val="both"/>
        <w:rPr>
          <w:sz w:val="20"/>
          <w:szCs w:val="20"/>
          <w:lang w:val="el-GR"/>
        </w:rPr>
      </w:pPr>
      <w:r w:rsidRPr="0010282C">
        <w:rPr>
          <w:sz w:val="20"/>
          <w:szCs w:val="20"/>
          <w:lang w:val="el-GR"/>
        </w:rPr>
        <w:t>Έκδοση χρε</w:t>
      </w:r>
      <w:r w:rsidR="0010282C" w:rsidRPr="0010282C">
        <w:rPr>
          <w:sz w:val="20"/>
          <w:szCs w:val="20"/>
          <w:lang w:val="el-GR"/>
        </w:rPr>
        <w:t>ο</w:t>
      </w:r>
      <w:r w:rsidRPr="0010282C">
        <w:rPr>
          <w:sz w:val="20"/>
          <w:szCs w:val="20"/>
          <w:lang w:val="el-GR"/>
        </w:rPr>
        <w:t xml:space="preserve">γράφων </w:t>
      </w:r>
      <w:r w:rsidRPr="0010282C">
        <w:rPr>
          <w:sz w:val="20"/>
          <w:szCs w:val="20"/>
        </w:rPr>
        <w:t>Additional</w:t>
      </w:r>
      <w:r w:rsidRPr="0010282C">
        <w:rPr>
          <w:sz w:val="20"/>
          <w:szCs w:val="20"/>
          <w:lang w:val="el-GR"/>
        </w:rPr>
        <w:t xml:space="preserve"> </w:t>
      </w:r>
      <w:r w:rsidRPr="0010282C">
        <w:rPr>
          <w:sz w:val="20"/>
          <w:szCs w:val="20"/>
        </w:rPr>
        <w:t>Tier</w:t>
      </w:r>
      <w:r w:rsidRPr="0010282C">
        <w:rPr>
          <w:sz w:val="20"/>
          <w:szCs w:val="20"/>
          <w:lang w:val="el-GR"/>
        </w:rPr>
        <w:t xml:space="preserve"> 1 ύψ</w:t>
      </w:r>
      <w:r w:rsidR="0010282C">
        <w:rPr>
          <w:sz w:val="20"/>
          <w:szCs w:val="20"/>
          <w:lang w:val="el-GR"/>
        </w:rPr>
        <w:t>ους</w:t>
      </w:r>
      <w:r w:rsidRPr="0010282C">
        <w:rPr>
          <w:sz w:val="20"/>
          <w:szCs w:val="20"/>
          <w:lang w:val="el-GR"/>
        </w:rPr>
        <w:t xml:space="preserve"> €0,6</w:t>
      </w:r>
      <w:r w:rsidR="009979CE">
        <w:rPr>
          <w:sz w:val="20"/>
          <w:szCs w:val="20"/>
          <w:lang w:val="el-GR"/>
        </w:rPr>
        <w:t xml:space="preserve"> δισ.</w:t>
      </w:r>
      <w:r w:rsidR="00C2613E">
        <w:rPr>
          <w:sz w:val="20"/>
          <w:szCs w:val="20"/>
          <w:lang w:val="el-GR"/>
        </w:rPr>
        <w:t xml:space="preserve"> από την Πειραιώς </w:t>
      </w:r>
      <w:r w:rsidR="00C2613E">
        <w:rPr>
          <w:sz w:val="20"/>
          <w:szCs w:val="20"/>
        </w:rPr>
        <w:t>Financial</w:t>
      </w:r>
      <w:r w:rsidR="00C2613E" w:rsidRPr="00C2613E">
        <w:rPr>
          <w:sz w:val="20"/>
          <w:szCs w:val="20"/>
          <w:lang w:val="el-GR"/>
        </w:rPr>
        <w:t xml:space="preserve"> </w:t>
      </w:r>
      <w:r w:rsidR="00C2613E">
        <w:rPr>
          <w:sz w:val="20"/>
          <w:szCs w:val="20"/>
        </w:rPr>
        <w:t>Holdings</w:t>
      </w:r>
    </w:p>
    <w:p w14:paraId="0FA776D6" w14:textId="3D9596F2" w:rsidR="00C1355C" w:rsidRPr="00C2613E" w:rsidRDefault="00F131E7" w:rsidP="00337141">
      <w:pPr>
        <w:pStyle w:val="ListParagraph"/>
        <w:numPr>
          <w:ilvl w:val="0"/>
          <w:numId w:val="34"/>
        </w:numPr>
        <w:shd w:val="clear" w:color="auto" w:fill="FFFFFF" w:themeFill="background1"/>
        <w:tabs>
          <w:tab w:val="left" w:pos="9214"/>
        </w:tabs>
        <w:spacing w:after="120" w:line="300" w:lineRule="exact"/>
        <w:ind w:right="-77"/>
        <w:jc w:val="both"/>
        <w:rPr>
          <w:sz w:val="20"/>
          <w:szCs w:val="20"/>
          <w:lang w:val="el-GR"/>
        </w:rPr>
      </w:pPr>
      <w:r w:rsidRPr="00F131E7">
        <w:rPr>
          <w:sz w:val="20"/>
          <w:szCs w:val="20"/>
          <w:lang w:val="el-GR"/>
        </w:rPr>
        <w:t xml:space="preserve">Επιπρόσθετες </w:t>
      </w:r>
      <w:r w:rsidR="00C1355C" w:rsidRPr="00F131E7">
        <w:rPr>
          <w:sz w:val="20"/>
          <w:szCs w:val="20"/>
          <w:lang w:val="el-GR"/>
        </w:rPr>
        <w:t xml:space="preserve">ενέργειες </w:t>
      </w:r>
      <w:r w:rsidRPr="00F131E7">
        <w:rPr>
          <w:sz w:val="20"/>
          <w:szCs w:val="20"/>
          <w:lang w:val="el-GR"/>
        </w:rPr>
        <w:t xml:space="preserve">άντλησης </w:t>
      </w:r>
      <w:r w:rsidR="00C1355C" w:rsidRPr="00F131E7">
        <w:rPr>
          <w:sz w:val="20"/>
          <w:szCs w:val="20"/>
          <w:lang w:val="el-GR"/>
        </w:rPr>
        <w:t>κεφαλαίων, όπως: (</w:t>
      </w:r>
      <w:proofErr w:type="spellStart"/>
      <w:r w:rsidR="00C1355C" w:rsidRPr="00F131E7">
        <w:rPr>
          <w:sz w:val="20"/>
          <w:szCs w:val="20"/>
        </w:rPr>
        <w:t>i</w:t>
      </w:r>
      <w:proofErr w:type="spellEnd"/>
      <w:r w:rsidR="00C1355C" w:rsidRPr="00F131E7">
        <w:rPr>
          <w:sz w:val="20"/>
          <w:szCs w:val="20"/>
          <w:lang w:val="el-GR"/>
        </w:rPr>
        <w:t xml:space="preserve">) πραγματοποίηση κερδών από το χαρτοφυλάκιο </w:t>
      </w:r>
      <w:r w:rsidRPr="00F131E7">
        <w:rPr>
          <w:sz w:val="20"/>
          <w:szCs w:val="20"/>
          <w:lang w:val="el-GR"/>
        </w:rPr>
        <w:t xml:space="preserve">κρατικών ομολόγων εντός του πρώτου τριμήνου </w:t>
      </w:r>
      <w:r w:rsidR="00C1355C" w:rsidRPr="00F131E7">
        <w:rPr>
          <w:sz w:val="20"/>
          <w:szCs w:val="20"/>
          <w:lang w:val="el-GR"/>
        </w:rPr>
        <w:t>του 2021 (</w:t>
      </w:r>
      <w:r w:rsidR="00C1355C" w:rsidRPr="00F131E7">
        <w:rPr>
          <w:sz w:val="20"/>
          <w:szCs w:val="20"/>
        </w:rPr>
        <w:t>ii</w:t>
      </w:r>
      <w:r w:rsidR="00C1355C" w:rsidRPr="00F131E7">
        <w:rPr>
          <w:sz w:val="20"/>
          <w:szCs w:val="20"/>
          <w:lang w:val="el-GR"/>
        </w:rPr>
        <w:t xml:space="preserve">) </w:t>
      </w:r>
      <w:r w:rsidR="00C2613E">
        <w:rPr>
          <w:sz w:val="20"/>
          <w:szCs w:val="20"/>
          <w:lang w:val="el-GR"/>
        </w:rPr>
        <w:t xml:space="preserve">απόσχιση και </w:t>
      </w:r>
      <w:r w:rsidR="00C1355C" w:rsidRPr="00F131E7">
        <w:rPr>
          <w:sz w:val="20"/>
          <w:szCs w:val="20"/>
          <w:lang w:val="el-GR"/>
        </w:rPr>
        <w:t xml:space="preserve">πώληση της πλατφόρμας </w:t>
      </w:r>
      <w:r w:rsidR="003B5E55">
        <w:rPr>
          <w:sz w:val="20"/>
          <w:szCs w:val="20"/>
        </w:rPr>
        <w:t>m</w:t>
      </w:r>
      <w:r w:rsidR="00C1355C" w:rsidRPr="00F131E7">
        <w:rPr>
          <w:sz w:val="20"/>
          <w:szCs w:val="20"/>
        </w:rPr>
        <w:t>erchant</w:t>
      </w:r>
      <w:r w:rsidR="00C1355C" w:rsidRPr="00F131E7">
        <w:rPr>
          <w:sz w:val="20"/>
          <w:szCs w:val="20"/>
          <w:lang w:val="el-GR"/>
        </w:rPr>
        <w:t xml:space="preserve"> </w:t>
      </w:r>
      <w:r w:rsidR="003B5E55">
        <w:rPr>
          <w:sz w:val="20"/>
          <w:szCs w:val="20"/>
        </w:rPr>
        <w:t>a</w:t>
      </w:r>
      <w:r w:rsidR="00C1355C" w:rsidRPr="00F131E7">
        <w:rPr>
          <w:sz w:val="20"/>
          <w:szCs w:val="20"/>
        </w:rPr>
        <w:t>cquiring</w:t>
      </w:r>
      <w:r w:rsidR="00C1355C" w:rsidRPr="00F131E7">
        <w:rPr>
          <w:sz w:val="20"/>
          <w:szCs w:val="20"/>
          <w:lang w:val="el-GR"/>
        </w:rPr>
        <w:t xml:space="preserve"> της Τράπεζας και (</w:t>
      </w:r>
      <w:r w:rsidR="00C1355C" w:rsidRPr="00F131E7">
        <w:rPr>
          <w:sz w:val="20"/>
          <w:szCs w:val="20"/>
        </w:rPr>
        <w:t>iii</w:t>
      </w:r>
      <w:r w:rsidR="00C1355C" w:rsidRPr="00F131E7">
        <w:rPr>
          <w:sz w:val="20"/>
          <w:szCs w:val="20"/>
          <w:lang w:val="el-GR"/>
        </w:rPr>
        <w:t xml:space="preserve">) την αγορά πιστωτικής προστασίας σε χαρτοφυλάκια επιλεγμένων εξυπηρετούμενων δανείων (συνθετική </w:t>
      </w:r>
      <w:proofErr w:type="spellStart"/>
      <w:r w:rsidR="00C1355C" w:rsidRPr="00F131E7">
        <w:rPr>
          <w:sz w:val="20"/>
          <w:szCs w:val="20"/>
          <w:lang w:val="el-GR"/>
        </w:rPr>
        <w:t>τιτλοποίηση</w:t>
      </w:r>
      <w:proofErr w:type="spellEnd"/>
      <w:r w:rsidR="00C1355C" w:rsidRPr="00F131E7">
        <w:rPr>
          <w:sz w:val="20"/>
          <w:szCs w:val="20"/>
          <w:lang w:val="el-GR"/>
        </w:rPr>
        <w:t xml:space="preserve">). </w:t>
      </w:r>
      <w:r w:rsidRPr="00F131E7">
        <w:rPr>
          <w:sz w:val="20"/>
          <w:szCs w:val="20"/>
          <w:lang w:val="el-GR"/>
        </w:rPr>
        <w:t xml:space="preserve">Οι δύο τελευταίες </w:t>
      </w:r>
      <w:r w:rsidR="003B5E55">
        <w:rPr>
          <w:sz w:val="20"/>
          <w:szCs w:val="20"/>
          <w:lang w:val="el-GR"/>
        </w:rPr>
        <w:t>συναλλαγές ανακοινώθηκαν σήμερα</w:t>
      </w:r>
      <w:r w:rsidR="003B5E55">
        <w:rPr>
          <w:sz w:val="20"/>
          <w:szCs w:val="20"/>
        </w:rPr>
        <w:t>.</w:t>
      </w:r>
    </w:p>
    <w:p w14:paraId="2686B1C2" w14:textId="2E399B88" w:rsidR="00C1355C" w:rsidRPr="003B5E55" w:rsidRDefault="00C1355C" w:rsidP="00D8229A">
      <w:pPr>
        <w:pStyle w:val="ListParagraph"/>
        <w:numPr>
          <w:ilvl w:val="0"/>
          <w:numId w:val="32"/>
        </w:numPr>
        <w:shd w:val="clear" w:color="auto" w:fill="FFFFFF" w:themeFill="background1"/>
        <w:tabs>
          <w:tab w:val="left" w:pos="9214"/>
        </w:tabs>
        <w:spacing w:after="120" w:line="300" w:lineRule="exact"/>
        <w:ind w:left="-270" w:right="-77" w:hanging="270"/>
        <w:jc w:val="both"/>
        <w:rPr>
          <w:sz w:val="20"/>
          <w:szCs w:val="20"/>
          <w:lang w:val="el-GR"/>
        </w:rPr>
      </w:pPr>
      <w:r w:rsidRPr="00C16DF2">
        <w:rPr>
          <w:sz w:val="20"/>
          <w:szCs w:val="20"/>
          <w:lang w:val="el-GR"/>
        </w:rPr>
        <w:t xml:space="preserve">Ένα ισχυρό επιχειρησιακό σχέδιο </w:t>
      </w:r>
      <w:proofErr w:type="spellStart"/>
      <w:r w:rsidRPr="00C16DF2">
        <w:rPr>
          <w:sz w:val="20"/>
          <w:szCs w:val="20"/>
          <w:lang w:val="el-GR"/>
        </w:rPr>
        <w:t>εξορθολογισμού</w:t>
      </w:r>
      <w:proofErr w:type="spellEnd"/>
      <w:r w:rsidRPr="00C16DF2">
        <w:rPr>
          <w:sz w:val="20"/>
          <w:szCs w:val="20"/>
          <w:lang w:val="el-GR"/>
        </w:rPr>
        <w:t xml:space="preserve"> για την ενίσχυση της προ</w:t>
      </w:r>
      <w:r w:rsidR="00F131E7" w:rsidRPr="00C16DF2">
        <w:rPr>
          <w:sz w:val="20"/>
          <w:szCs w:val="20"/>
          <w:lang w:val="el-GR"/>
        </w:rPr>
        <w:t xml:space="preserve"> </w:t>
      </w:r>
      <w:r w:rsidRPr="00C16DF2">
        <w:rPr>
          <w:sz w:val="20"/>
          <w:szCs w:val="20"/>
          <w:lang w:val="el-GR"/>
        </w:rPr>
        <w:t xml:space="preserve">προβλέψεων κερδοφορίας μέσω συνδυασμού ενίσχυσης των εσόδων και μείωσης του λειτουργικού κόστους λόγω βελτιώσεων της απόδοσης και </w:t>
      </w:r>
      <w:proofErr w:type="spellStart"/>
      <w:r w:rsidRPr="00C16DF2">
        <w:rPr>
          <w:sz w:val="20"/>
          <w:szCs w:val="20"/>
          <w:lang w:val="el-GR"/>
        </w:rPr>
        <w:t>ψηφιοποίησης</w:t>
      </w:r>
      <w:proofErr w:type="spellEnd"/>
      <w:r w:rsidRPr="00C16DF2">
        <w:rPr>
          <w:sz w:val="20"/>
          <w:szCs w:val="20"/>
          <w:lang w:val="el-GR"/>
        </w:rPr>
        <w:t xml:space="preserve"> της λειτουργίας του Ομίλου. </w:t>
      </w:r>
      <w:r w:rsidRPr="003B5E55">
        <w:rPr>
          <w:sz w:val="20"/>
          <w:szCs w:val="20"/>
          <w:lang w:val="el-GR"/>
        </w:rPr>
        <w:t xml:space="preserve">Αυτή η αυξημένη απόδοση θα βοηθηθεί εν πολλοίς </w:t>
      </w:r>
      <w:r w:rsidR="00F131E7" w:rsidRPr="003B5E55">
        <w:rPr>
          <w:sz w:val="20"/>
          <w:szCs w:val="20"/>
          <w:lang w:val="el-GR"/>
        </w:rPr>
        <w:t xml:space="preserve">από το </w:t>
      </w:r>
      <w:r w:rsidRPr="003B5E55">
        <w:rPr>
          <w:sz w:val="20"/>
          <w:szCs w:val="20"/>
          <w:lang w:val="el-GR"/>
        </w:rPr>
        <w:t>βελτιούμενο μακροοικονομικ</w:t>
      </w:r>
      <w:r w:rsidR="00F131E7" w:rsidRPr="003B5E55">
        <w:rPr>
          <w:sz w:val="20"/>
          <w:szCs w:val="20"/>
          <w:lang w:val="el-GR"/>
        </w:rPr>
        <w:t>ό</w:t>
      </w:r>
      <w:r w:rsidRPr="003B5E55">
        <w:rPr>
          <w:sz w:val="20"/>
          <w:szCs w:val="20"/>
          <w:lang w:val="el-GR"/>
        </w:rPr>
        <w:t xml:space="preserve"> </w:t>
      </w:r>
      <w:r w:rsidR="00F131E7" w:rsidRPr="003B5E55">
        <w:rPr>
          <w:sz w:val="20"/>
          <w:szCs w:val="20"/>
          <w:lang w:val="el-GR"/>
        </w:rPr>
        <w:t>περιβάλλον</w:t>
      </w:r>
      <w:r w:rsidR="003B5E55" w:rsidRPr="003B5E55">
        <w:rPr>
          <w:sz w:val="20"/>
          <w:szCs w:val="20"/>
          <w:lang w:val="el-GR"/>
        </w:rPr>
        <w:t>.</w:t>
      </w:r>
    </w:p>
    <w:p w14:paraId="185E13EE" w14:textId="77777777" w:rsidR="00F0238A" w:rsidRDefault="00F0238A" w:rsidP="00C1355C">
      <w:pPr>
        <w:spacing w:after="160" w:line="240" w:lineRule="exact"/>
        <w:ind w:left="2880" w:firstLine="720"/>
        <w:jc w:val="right"/>
        <w:rPr>
          <w:sz w:val="20"/>
          <w:szCs w:val="20"/>
        </w:rPr>
      </w:pPr>
    </w:p>
    <w:p w14:paraId="6C2F4AA1" w14:textId="1EAA4BCE" w:rsidR="00322697" w:rsidRDefault="00C1355C" w:rsidP="00BC0BE0">
      <w:pPr>
        <w:shd w:val="clear" w:color="auto" w:fill="FFFFFF" w:themeFill="background1"/>
        <w:tabs>
          <w:tab w:val="left" w:pos="9214"/>
        </w:tabs>
        <w:spacing w:after="120" w:line="300" w:lineRule="exact"/>
        <w:ind w:left="-284" w:right="-77"/>
        <w:jc w:val="both"/>
        <w:rPr>
          <w:sz w:val="20"/>
          <w:szCs w:val="20"/>
        </w:rPr>
      </w:pPr>
      <w:r w:rsidRPr="005563F0">
        <w:rPr>
          <w:sz w:val="20"/>
          <w:szCs w:val="20"/>
        </w:rPr>
        <w:t xml:space="preserve">Το Ταμείο </w:t>
      </w:r>
      <w:r w:rsidR="00BC0BE0">
        <w:rPr>
          <w:sz w:val="20"/>
          <w:szCs w:val="20"/>
        </w:rPr>
        <w:t xml:space="preserve">Χρηματοπιστωτικής </w:t>
      </w:r>
      <w:r w:rsidRPr="005563F0">
        <w:rPr>
          <w:sz w:val="20"/>
          <w:szCs w:val="20"/>
        </w:rPr>
        <w:t>Σταθερότητας</w:t>
      </w:r>
      <w:r w:rsidR="00114958">
        <w:rPr>
          <w:sz w:val="20"/>
          <w:szCs w:val="20"/>
        </w:rPr>
        <w:t xml:space="preserve"> (ΤΧΣ)</w:t>
      </w:r>
      <w:r w:rsidRPr="005563F0">
        <w:rPr>
          <w:sz w:val="20"/>
          <w:szCs w:val="20"/>
        </w:rPr>
        <w:t xml:space="preserve">, ως ο μεγαλύτερος μέτοχος </w:t>
      </w:r>
      <w:r w:rsidR="00BC0BE0">
        <w:rPr>
          <w:sz w:val="20"/>
          <w:szCs w:val="20"/>
        </w:rPr>
        <w:t>της Πειραιώς</w:t>
      </w:r>
      <w:r w:rsidR="00C16DF2">
        <w:rPr>
          <w:sz w:val="20"/>
          <w:szCs w:val="20"/>
        </w:rPr>
        <w:t xml:space="preserve"> </w:t>
      </w:r>
      <w:r w:rsidR="00C16DF2">
        <w:rPr>
          <w:sz w:val="20"/>
          <w:szCs w:val="20"/>
          <w:lang w:val="en-US"/>
        </w:rPr>
        <w:t>Financial</w:t>
      </w:r>
      <w:r w:rsidR="00C16DF2" w:rsidRPr="00C16DF2">
        <w:rPr>
          <w:sz w:val="20"/>
          <w:szCs w:val="20"/>
        </w:rPr>
        <w:t xml:space="preserve"> </w:t>
      </w:r>
      <w:r w:rsidR="00C16DF2">
        <w:rPr>
          <w:sz w:val="20"/>
          <w:szCs w:val="20"/>
          <w:lang w:val="en-US"/>
        </w:rPr>
        <w:t>Holdings</w:t>
      </w:r>
      <w:r w:rsidRPr="005563F0">
        <w:rPr>
          <w:sz w:val="20"/>
          <w:szCs w:val="20"/>
        </w:rPr>
        <w:t xml:space="preserve">, επιβεβαίωσε την πρόθεσή του να υποστηρίξει πλήρως την αύξηση </w:t>
      </w:r>
      <w:r w:rsidR="00366C06">
        <w:rPr>
          <w:sz w:val="20"/>
          <w:szCs w:val="20"/>
        </w:rPr>
        <w:t xml:space="preserve">μετοχικού </w:t>
      </w:r>
      <w:r w:rsidRPr="005563F0">
        <w:rPr>
          <w:sz w:val="20"/>
          <w:szCs w:val="20"/>
        </w:rPr>
        <w:t xml:space="preserve">κεφαλαίου. Σύμφωνα με την ανακοίνωσή του τον Νοέμβριο του 2020, το ΤΧΣ </w:t>
      </w:r>
      <w:r w:rsidR="00C16DF2">
        <w:rPr>
          <w:sz w:val="20"/>
          <w:szCs w:val="20"/>
        </w:rPr>
        <w:t xml:space="preserve">σχεδιάζει </w:t>
      </w:r>
      <w:r w:rsidRPr="005563F0">
        <w:rPr>
          <w:sz w:val="20"/>
          <w:szCs w:val="20"/>
        </w:rPr>
        <w:t xml:space="preserve">να μειώσει τη συμμετοχή του </w:t>
      </w:r>
      <w:r w:rsidR="00C16DF2">
        <w:rPr>
          <w:sz w:val="20"/>
          <w:szCs w:val="20"/>
        </w:rPr>
        <w:t xml:space="preserve">σε </w:t>
      </w:r>
      <w:r w:rsidRPr="005563F0">
        <w:rPr>
          <w:sz w:val="20"/>
          <w:szCs w:val="20"/>
        </w:rPr>
        <w:t>μειοψηφικό μερίδιο.</w:t>
      </w:r>
    </w:p>
    <w:p w14:paraId="6D4EF307" w14:textId="77777777" w:rsidR="0096597C" w:rsidRDefault="0096597C" w:rsidP="000E36F3">
      <w:pPr>
        <w:shd w:val="clear" w:color="auto" w:fill="FFFFFF" w:themeFill="background1"/>
        <w:tabs>
          <w:tab w:val="left" w:pos="9214"/>
        </w:tabs>
        <w:spacing w:after="120" w:line="300" w:lineRule="exact"/>
        <w:ind w:right="-432"/>
        <w:rPr>
          <w:sz w:val="20"/>
          <w:szCs w:val="20"/>
        </w:rPr>
      </w:pPr>
    </w:p>
    <w:p w14:paraId="08CE4D28" w14:textId="73BFC0B4" w:rsidR="0096597C" w:rsidRPr="00285C1D" w:rsidRDefault="00BC0BE0" w:rsidP="00285C1D">
      <w:pPr>
        <w:overflowPunct w:val="0"/>
        <w:autoSpaceDE w:val="0"/>
        <w:autoSpaceDN w:val="0"/>
        <w:spacing w:beforeLines="120" w:before="288" w:line="240" w:lineRule="exact"/>
        <w:ind w:left="-284" w:right="115"/>
        <w:rPr>
          <w:color w:val="1F497D"/>
          <w:sz w:val="20"/>
          <w:szCs w:val="20"/>
          <w:u w:val="single"/>
        </w:rPr>
      </w:pPr>
      <w:r w:rsidRPr="00285C1D">
        <w:rPr>
          <w:color w:val="1F497D"/>
          <w:sz w:val="20"/>
          <w:szCs w:val="20"/>
          <w:u w:val="single"/>
        </w:rPr>
        <w:t xml:space="preserve">Σκεπτικό </w:t>
      </w:r>
      <w:r w:rsidR="0096597C" w:rsidRPr="00285C1D">
        <w:rPr>
          <w:color w:val="1F497D"/>
          <w:sz w:val="20"/>
          <w:szCs w:val="20"/>
          <w:u w:val="single"/>
        </w:rPr>
        <w:t>Συναλλαγής</w:t>
      </w:r>
    </w:p>
    <w:p w14:paraId="6D72A383" w14:textId="60DEEC84" w:rsidR="0096597C" w:rsidRPr="0096597C" w:rsidRDefault="0096597C" w:rsidP="00BC0BE0">
      <w:pPr>
        <w:shd w:val="clear" w:color="auto" w:fill="FFFFFF" w:themeFill="background1"/>
        <w:tabs>
          <w:tab w:val="left" w:pos="9214"/>
        </w:tabs>
        <w:spacing w:after="120" w:line="300" w:lineRule="exact"/>
        <w:ind w:left="-284" w:right="-432"/>
        <w:jc w:val="both"/>
        <w:rPr>
          <w:sz w:val="20"/>
          <w:szCs w:val="20"/>
        </w:rPr>
      </w:pPr>
      <w:r w:rsidRPr="0096597C">
        <w:rPr>
          <w:sz w:val="20"/>
          <w:szCs w:val="20"/>
        </w:rPr>
        <w:t xml:space="preserve">Η </w:t>
      </w:r>
      <w:r w:rsidR="00337141" w:rsidRPr="0096597C">
        <w:rPr>
          <w:sz w:val="20"/>
          <w:szCs w:val="20"/>
        </w:rPr>
        <w:t>υλοποίηση</w:t>
      </w:r>
      <w:r w:rsidRPr="0096597C">
        <w:rPr>
          <w:sz w:val="20"/>
          <w:szCs w:val="20"/>
        </w:rPr>
        <w:t xml:space="preserve"> του Σχέδιου “</w:t>
      </w:r>
      <w:proofErr w:type="spellStart"/>
      <w:r w:rsidRPr="0096597C">
        <w:rPr>
          <w:sz w:val="20"/>
          <w:szCs w:val="20"/>
        </w:rPr>
        <w:t>Sunrise</w:t>
      </w:r>
      <w:proofErr w:type="spellEnd"/>
      <w:r w:rsidRPr="0096597C">
        <w:rPr>
          <w:sz w:val="20"/>
          <w:szCs w:val="20"/>
        </w:rPr>
        <w:t>” θα επιτρέψει</w:t>
      </w:r>
      <w:r w:rsidR="00BC0BE0">
        <w:rPr>
          <w:sz w:val="20"/>
          <w:szCs w:val="20"/>
        </w:rPr>
        <w:t>:</w:t>
      </w:r>
    </w:p>
    <w:p w14:paraId="61F7CA54" w14:textId="16E7C091" w:rsidR="0096597C" w:rsidRPr="00BC0BE0" w:rsidRDefault="0096597C" w:rsidP="00FB73D2">
      <w:pPr>
        <w:pStyle w:val="ListParagraph"/>
        <w:numPr>
          <w:ilvl w:val="0"/>
          <w:numId w:val="35"/>
        </w:numPr>
        <w:shd w:val="clear" w:color="auto" w:fill="FFFFFF" w:themeFill="background1"/>
        <w:tabs>
          <w:tab w:val="left" w:pos="9214"/>
        </w:tabs>
        <w:spacing w:after="120" w:line="300" w:lineRule="exact"/>
        <w:ind w:left="142" w:right="-77"/>
        <w:jc w:val="both"/>
        <w:rPr>
          <w:sz w:val="20"/>
          <w:szCs w:val="20"/>
          <w:lang w:val="el-GR"/>
        </w:rPr>
      </w:pPr>
      <w:r w:rsidRPr="00BC0BE0">
        <w:rPr>
          <w:sz w:val="20"/>
          <w:szCs w:val="20"/>
          <w:lang w:val="el-GR"/>
        </w:rPr>
        <w:t xml:space="preserve">Τη δραστική επιτάχυνση του πλάνου μείωσης του αποθέματος των </w:t>
      </w:r>
      <w:r w:rsidR="00182520">
        <w:rPr>
          <w:sz w:val="20"/>
          <w:szCs w:val="20"/>
        </w:rPr>
        <w:t>NPEs</w:t>
      </w:r>
      <w:r w:rsidRPr="00BC0BE0">
        <w:rPr>
          <w:sz w:val="20"/>
          <w:szCs w:val="20"/>
          <w:lang w:val="el-GR"/>
        </w:rPr>
        <w:t xml:space="preserve"> και την </w:t>
      </w:r>
      <w:r w:rsidR="00337141" w:rsidRPr="00BC0BE0">
        <w:rPr>
          <w:sz w:val="20"/>
          <w:szCs w:val="20"/>
          <w:lang w:val="el-GR"/>
        </w:rPr>
        <w:t>επίτευξη</w:t>
      </w:r>
      <w:r w:rsidRPr="00BC0BE0">
        <w:rPr>
          <w:sz w:val="20"/>
          <w:szCs w:val="20"/>
          <w:lang w:val="el-GR"/>
        </w:rPr>
        <w:t xml:space="preserve"> μονοψήφιου δείκτη </w:t>
      </w:r>
      <w:r w:rsidR="00BC0BE0">
        <w:rPr>
          <w:sz w:val="20"/>
          <w:szCs w:val="20"/>
        </w:rPr>
        <w:t>NPE</w:t>
      </w:r>
      <w:r w:rsidR="00BC0BE0" w:rsidRPr="00BC0BE0">
        <w:rPr>
          <w:sz w:val="20"/>
          <w:szCs w:val="20"/>
          <w:lang w:val="el-GR"/>
        </w:rPr>
        <w:t xml:space="preserve"> </w:t>
      </w:r>
      <w:r w:rsidRPr="00BC0BE0">
        <w:rPr>
          <w:sz w:val="20"/>
          <w:szCs w:val="20"/>
          <w:lang w:val="el-GR"/>
        </w:rPr>
        <w:t xml:space="preserve">στους επόμενους 12 </w:t>
      </w:r>
      <w:r w:rsidR="00337141" w:rsidRPr="00BC0BE0">
        <w:rPr>
          <w:sz w:val="20"/>
          <w:szCs w:val="20"/>
          <w:lang w:val="el-GR"/>
        </w:rPr>
        <w:t>μήνες</w:t>
      </w:r>
    </w:p>
    <w:p w14:paraId="7A19EE86" w14:textId="09ABA1BF" w:rsidR="0096597C" w:rsidRPr="00BC0BE0" w:rsidRDefault="0096597C" w:rsidP="00FB73D2">
      <w:pPr>
        <w:pStyle w:val="ListParagraph"/>
        <w:numPr>
          <w:ilvl w:val="0"/>
          <w:numId w:val="35"/>
        </w:numPr>
        <w:shd w:val="clear" w:color="auto" w:fill="FFFFFF" w:themeFill="background1"/>
        <w:tabs>
          <w:tab w:val="left" w:pos="9214"/>
        </w:tabs>
        <w:spacing w:after="120" w:line="300" w:lineRule="exact"/>
        <w:ind w:left="142" w:right="-77"/>
        <w:jc w:val="both"/>
        <w:rPr>
          <w:sz w:val="20"/>
          <w:szCs w:val="20"/>
          <w:lang w:val="el-GR"/>
        </w:rPr>
      </w:pPr>
      <w:r w:rsidRPr="00BC0BE0">
        <w:rPr>
          <w:sz w:val="20"/>
          <w:szCs w:val="20"/>
          <w:lang w:val="el-GR"/>
        </w:rPr>
        <w:t xml:space="preserve">Την ενίσχυση των κεφαλαίων </w:t>
      </w:r>
      <w:r w:rsidR="00BC0BE0">
        <w:rPr>
          <w:sz w:val="20"/>
          <w:szCs w:val="20"/>
          <w:lang w:val="el-GR"/>
        </w:rPr>
        <w:t xml:space="preserve">της Τράπεζας </w:t>
      </w:r>
      <w:r w:rsidRPr="00BC0BE0">
        <w:rPr>
          <w:sz w:val="20"/>
          <w:szCs w:val="20"/>
          <w:lang w:val="el-GR"/>
        </w:rPr>
        <w:t xml:space="preserve">σε επίπεδα σταθερά άνω των εποπτικών απαιτήσεων τόσο σε  </w:t>
      </w:r>
      <w:r w:rsidR="00BC0BE0">
        <w:rPr>
          <w:sz w:val="20"/>
          <w:szCs w:val="20"/>
          <w:lang w:val="el-GR"/>
        </w:rPr>
        <w:t xml:space="preserve">βραχυπρόθεσμο </w:t>
      </w:r>
      <w:r w:rsidRPr="00BC0BE0">
        <w:rPr>
          <w:sz w:val="20"/>
          <w:szCs w:val="20"/>
          <w:lang w:val="el-GR"/>
        </w:rPr>
        <w:t>όσο και μεσοπρ</w:t>
      </w:r>
      <w:r w:rsidR="00017DA7">
        <w:rPr>
          <w:sz w:val="20"/>
          <w:szCs w:val="20"/>
          <w:lang w:val="el-GR"/>
        </w:rPr>
        <w:t>ό</w:t>
      </w:r>
      <w:r w:rsidRPr="00BC0BE0">
        <w:rPr>
          <w:sz w:val="20"/>
          <w:szCs w:val="20"/>
          <w:lang w:val="el-GR"/>
        </w:rPr>
        <w:t>θεσμο ορίζοντα</w:t>
      </w:r>
    </w:p>
    <w:p w14:paraId="4FE08E1A" w14:textId="6FDA4197" w:rsidR="0096597C" w:rsidRPr="00337141" w:rsidRDefault="0096597C" w:rsidP="00FB73D2">
      <w:pPr>
        <w:pStyle w:val="ListParagraph"/>
        <w:numPr>
          <w:ilvl w:val="0"/>
          <w:numId w:val="35"/>
        </w:numPr>
        <w:shd w:val="clear" w:color="auto" w:fill="FFFFFF" w:themeFill="background1"/>
        <w:tabs>
          <w:tab w:val="left" w:pos="9214"/>
        </w:tabs>
        <w:spacing w:after="120" w:line="300" w:lineRule="exact"/>
        <w:ind w:left="142" w:right="-77"/>
        <w:jc w:val="both"/>
        <w:rPr>
          <w:sz w:val="20"/>
          <w:szCs w:val="20"/>
          <w:lang w:val="el-GR"/>
        </w:rPr>
      </w:pPr>
      <w:r w:rsidRPr="00337141">
        <w:rPr>
          <w:sz w:val="20"/>
          <w:szCs w:val="20"/>
          <w:lang w:val="el-GR"/>
        </w:rPr>
        <w:t>Την ουσιαστική βελτίωση της ικανότητας του Ομίλου Πειραιώ</w:t>
      </w:r>
      <w:r w:rsidR="00017DA7">
        <w:rPr>
          <w:sz w:val="20"/>
          <w:szCs w:val="20"/>
          <w:lang w:val="el-GR"/>
        </w:rPr>
        <w:t>ς για παραγωγή κεφαλαίων και τη</w:t>
      </w:r>
      <w:r w:rsidRPr="00337141">
        <w:rPr>
          <w:sz w:val="20"/>
          <w:szCs w:val="20"/>
          <w:lang w:val="el-GR"/>
        </w:rPr>
        <w:t xml:space="preserve"> στόχευση για οργανική κερδοφορία εφεξής </w:t>
      </w:r>
    </w:p>
    <w:p w14:paraId="74B86C5C" w14:textId="6797B9B1" w:rsidR="0096597C" w:rsidRPr="00BC0BE0" w:rsidRDefault="00BC0BE0" w:rsidP="00FB73D2">
      <w:pPr>
        <w:pStyle w:val="ListParagraph"/>
        <w:numPr>
          <w:ilvl w:val="0"/>
          <w:numId w:val="35"/>
        </w:numPr>
        <w:shd w:val="clear" w:color="auto" w:fill="FFFFFF" w:themeFill="background1"/>
        <w:tabs>
          <w:tab w:val="left" w:pos="9214"/>
        </w:tabs>
        <w:spacing w:after="120" w:line="300" w:lineRule="exact"/>
        <w:ind w:left="142" w:right="-77"/>
        <w:jc w:val="both"/>
        <w:rPr>
          <w:sz w:val="20"/>
          <w:szCs w:val="20"/>
          <w:lang w:val="el-GR"/>
        </w:rPr>
      </w:pPr>
      <w:r>
        <w:rPr>
          <w:sz w:val="20"/>
          <w:szCs w:val="20"/>
          <w:lang w:val="el-GR"/>
        </w:rPr>
        <w:t>Τη δ</w:t>
      </w:r>
      <w:r w:rsidR="0096597C" w:rsidRPr="00BC0BE0">
        <w:rPr>
          <w:sz w:val="20"/>
          <w:szCs w:val="20"/>
          <w:lang w:val="el-GR"/>
        </w:rPr>
        <w:t xml:space="preserve">ημιουργία </w:t>
      </w:r>
      <w:r>
        <w:rPr>
          <w:sz w:val="20"/>
          <w:szCs w:val="20"/>
          <w:lang w:val="el-GR"/>
        </w:rPr>
        <w:t xml:space="preserve">μιας </w:t>
      </w:r>
      <w:r w:rsidR="0096597C" w:rsidRPr="00BC0BE0">
        <w:rPr>
          <w:sz w:val="20"/>
          <w:szCs w:val="20"/>
          <w:lang w:val="el-GR"/>
        </w:rPr>
        <w:t>ανανεωμένης τράπεζας με ηγετική θέση στην Ελλάδα</w:t>
      </w:r>
      <w:r>
        <w:rPr>
          <w:sz w:val="20"/>
          <w:szCs w:val="20"/>
          <w:lang w:val="el-GR"/>
        </w:rPr>
        <w:t>,</w:t>
      </w:r>
      <w:r w:rsidR="0096597C" w:rsidRPr="00BC0BE0">
        <w:rPr>
          <w:sz w:val="20"/>
          <w:szCs w:val="20"/>
          <w:lang w:val="el-GR"/>
        </w:rPr>
        <w:t xml:space="preserve"> </w:t>
      </w:r>
      <w:r w:rsidR="00337141" w:rsidRPr="00BC0BE0">
        <w:rPr>
          <w:sz w:val="20"/>
          <w:szCs w:val="20"/>
          <w:lang w:val="el-GR"/>
        </w:rPr>
        <w:t>ικανή</w:t>
      </w:r>
      <w:r w:rsidR="0096597C" w:rsidRPr="00BC0BE0">
        <w:rPr>
          <w:sz w:val="20"/>
          <w:szCs w:val="20"/>
          <w:lang w:val="el-GR"/>
        </w:rPr>
        <w:t xml:space="preserve"> να στηρίξει την επαν</w:t>
      </w:r>
      <w:r>
        <w:rPr>
          <w:sz w:val="20"/>
          <w:szCs w:val="20"/>
          <w:lang w:val="el-GR"/>
        </w:rPr>
        <w:t>ε</w:t>
      </w:r>
      <w:r w:rsidR="0096597C" w:rsidRPr="00BC0BE0">
        <w:rPr>
          <w:sz w:val="20"/>
          <w:szCs w:val="20"/>
          <w:lang w:val="el-GR"/>
        </w:rPr>
        <w:t>κκ</w:t>
      </w:r>
      <w:r>
        <w:rPr>
          <w:sz w:val="20"/>
          <w:szCs w:val="20"/>
          <w:lang w:val="el-GR"/>
        </w:rPr>
        <w:t>ί</w:t>
      </w:r>
      <w:r w:rsidR="0096597C" w:rsidRPr="00BC0BE0">
        <w:rPr>
          <w:sz w:val="20"/>
          <w:szCs w:val="20"/>
          <w:lang w:val="el-GR"/>
        </w:rPr>
        <w:t>νηση της οικονομίας της χώρας</w:t>
      </w:r>
    </w:p>
    <w:p w14:paraId="0D8864A9" w14:textId="77777777" w:rsidR="00FB73D2" w:rsidRDefault="00FB73D2" w:rsidP="00FB73D2">
      <w:pPr>
        <w:framePr w:w="8486" w:hSpace="180" w:wrap="around" w:vAnchor="text" w:hAnchor="page" w:x="2608" w:y="515"/>
        <w:overflowPunct w:val="0"/>
        <w:autoSpaceDE w:val="0"/>
        <w:autoSpaceDN w:val="0"/>
        <w:spacing w:beforeLines="120" w:before="288" w:line="240" w:lineRule="exact"/>
        <w:ind w:left="100" w:right="115"/>
        <w:rPr>
          <w:color w:val="1F497D"/>
          <w:sz w:val="20"/>
          <w:szCs w:val="20"/>
          <w:u w:val="single"/>
        </w:rPr>
      </w:pPr>
      <w:r>
        <w:rPr>
          <w:color w:val="1F497D"/>
          <w:sz w:val="20"/>
          <w:szCs w:val="20"/>
          <w:u w:val="single"/>
        </w:rPr>
        <w:t>Σύγκληση Έκτακτης Γενικής Συνέλευσης</w:t>
      </w:r>
    </w:p>
    <w:p w14:paraId="5656E526" w14:textId="53944AD3" w:rsidR="00285C1D" w:rsidRDefault="00FB73D2" w:rsidP="00285C1D">
      <w:pPr>
        <w:framePr w:w="8486" w:hSpace="180" w:wrap="around" w:vAnchor="text" w:hAnchor="page" w:x="2608" w:y="515"/>
        <w:overflowPunct w:val="0"/>
        <w:autoSpaceDE w:val="0"/>
        <w:autoSpaceDN w:val="0"/>
        <w:spacing w:beforeLines="120" w:before="288" w:line="280" w:lineRule="exact"/>
        <w:ind w:left="102" w:right="113"/>
        <w:jc w:val="both"/>
        <w:rPr>
          <w:sz w:val="20"/>
          <w:szCs w:val="20"/>
        </w:rPr>
      </w:pPr>
      <w:r>
        <w:rPr>
          <w:sz w:val="20"/>
          <w:szCs w:val="20"/>
        </w:rPr>
        <w:t>Σ</w:t>
      </w:r>
      <w:r w:rsidR="00285C1D">
        <w:rPr>
          <w:sz w:val="20"/>
          <w:szCs w:val="20"/>
        </w:rPr>
        <w:t>τ</w:t>
      </w:r>
      <w:r>
        <w:rPr>
          <w:sz w:val="20"/>
          <w:szCs w:val="20"/>
        </w:rPr>
        <w:t>ο πλαίσιο του Σχεδίου “</w:t>
      </w:r>
      <w:r>
        <w:rPr>
          <w:sz w:val="20"/>
          <w:szCs w:val="20"/>
          <w:lang w:val="en-US"/>
        </w:rPr>
        <w:t>Sunrise</w:t>
      </w:r>
      <w:r>
        <w:rPr>
          <w:sz w:val="20"/>
          <w:szCs w:val="20"/>
        </w:rPr>
        <w:t xml:space="preserve">”, το Διοικητικό Συμβούλιο της Πειραιώς </w:t>
      </w:r>
      <w:r>
        <w:rPr>
          <w:sz w:val="20"/>
          <w:szCs w:val="20"/>
          <w:lang w:val="en-US"/>
        </w:rPr>
        <w:t>Financial</w:t>
      </w:r>
      <w:r w:rsidRPr="0096597C">
        <w:rPr>
          <w:sz w:val="20"/>
          <w:szCs w:val="20"/>
        </w:rPr>
        <w:t xml:space="preserve"> </w:t>
      </w:r>
      <w:r>
        <w:rPr>
          <w:sz w:val="20"/>
          <w:szCs w:val="20"/>
          <w:lang w:val="en-US"/>
        </w:rPr>
        <w:t>Holdings</w:t>
      </w:r>
      <w:r w:rsidRPr="0096597C">
        <w:rPr>
          <w:sz w:val="20"/>
          <w:szCs w:val="20"/>
        </w:rPr>
        <w:t xml:space="preserve"> </w:t>
      </w:r>
      <w:r>
        <w:rPr>
          <w:sz w:val="20"/>
          <w:szCs w:val="20"/>
        </w:rPr>
        <w:t xml:space="preserve">αποφάσισε τη σύγκληση Έκτακτης Γενικής Συνέλευσης για την παροχή εξουσιοδότησης </w:t>
      </w:r>
      <w:r w:rsidR="00285C1D">
        <w:rPr>
          <w:sz w:val="20"/>
          <w:szCs w:val="20"/>
        </w:rPr>
        <w:t>αναφορικά με α</w:t>
      </w:r>
      <w:r>
        <w:rPr>
          <w:sz w:val="20"/>
          <w:szCs w:val="20"/>
        </w:rPr>
        <w:t xml:space="preserve">ύξηση </w:t>
      </w:r>
      <w:r w:rsidR="00285C1D">
        <w:rPr>
          <w:sz w:val="20"/>
          <w:szCs w:val="20"/>
        </w:rPr>
        <w:t>μ</w:t>
      </w:r>
      <w:r>
        <w:rPr>
          <w:sz w:val="20"/>
          <w:szCs w:val="20"/>
        </w:rPr>
        <w:t xml:space="preserve">ετοχικού </w:t>
      </w:r>
      <w:r w:rsidR="00285C1D">
        <w:rPr>
          <w:sz w:val="20"/>
          <w:szCs w:val="20"/>
        </w:rPr>
        <w:t>κ</w:t>
      </w:r>
      <w:r>
        <w:rPr>
          <w:sz w:val="20"/>
          <w:szCs w:val="20"/>
        </w:rPr>
        <w:t xml:space="preserve">εφαλαίου. Η Έκτακτη Γενική Συνέλευση θα λάβει χώρα στις 7 Απριλίου 2021.  Υπό την αίρεση της παροχής της έγκρισης των </w:t>
      </w:r>
      <w:r w:rsidR="00285C1D">
        <w:rPr>
          <w:sz w:val="20"/>
          <w:szCs w:val="20"/>
        </w:rPr>
        <w:t>μ</w:t>
      </w:r>
      <w:r>
        <w:rPr>
          <w:sz w:val="20"/>
          <w:szCs w:val="20"/>
        </w:rPr>
        <w:t>ετόχων</w:t>
      </w:r>
      <w:r w:rsidR="00285C1D">
        <w:rPr>
          <w:sz w:val="20"/>
          <w:szCs w:val="20"/>
        </w:rPr>
        <w:t>,</w:t>
      </w:r>
      <w:r>
        <w:rPr>
          <w:sz w:val="20"/>
          <w:szCs w:val="20"/>
        </w:rPr>
        <w:t xml:space="preserve"> η </w:t>
      </w:r>
      <w:r w:rsidR="00285C1D">
        <w:rPr>
          <w:sz w:val="20"/>
          <w:szCs w:val="20"/>
        </w:rPr>
        <w:t>α</w:t>
      </w:r>
      <w:r>
        <w:rPr>
          <w:sz w:val="20"/>
          <w:szCs w:val="20"/>
        </w:rPr>
        <w:t xml:space="preserve">ύξηση </w:t>
      </w:r>
      <w:r w:rsidR="00285C1D">
        <w:rPr>
          <w:sz w:val="20"/>
          <w:szCs w:val="20"/>
        </w:rPr>
        <w:t>μ</w:t>
      </w:r>
      <w:r>
        <w:rPr>
          <w:sz w:val="20"/>
          <w:szCs w:val="20"/>
        </w:rPr>
        <w:t xml:space="preserve">ετοχικού </w:t>
      </w:r>
      <w:r w:rsidR="00285C1D">
        <w:rPr>
          <w:sz w:val="20"/>
          <w:szCs w:val="20"/>
        </w:rPr>
        <w:t>κ</w:t>
      </w:r>
      <w:r>
        <w:rPr>
          <w:sz w:val="20"/>
          <w:szCs w:val="20"/>
        </w:rPr>
        <w:t xml:space="preserve">εφαλαίου αναμένεται να ξεκινήσει στα μέσα Απριλίου και να ολοκληρωθεί στις αρχές Μαΐου 2021. Η </w:t>
      </w:r>
      <w:r w:rsidR="00285C1D">
        <w:rPr>
          <w:sz w:val="20"/>
          <w:szCs w:val="20"/>
        </w:rPr>
        <w:t>α</w:t>
      </w:r>
      <w:r>
        <w:rPr>
          <w:sz w:val="20"/>
          <w:szCs w:val="20"/>
        </w:rPr>
        <w:t xml:space="preserve">ύξηση </w:t>
      </w:r>
      <w:r w:rsidR="00285C1D">
        <w:rPr>
          <w:sz w:val="20"/>
          <w:szCs w:val="20"/>
        </w:rPr>
        <w:t>μ</w:t>
      </w:r>
      <w:r>
        <w:rPr>
          <w:sz w:val="20"/>
          <w:szCs w:val="20"/>
        </w:rPr>
        <w:t xml:space="preserve">ετοχικού </w:t>
      </w:r>
      <w:r w:rsidR="00285C1D">
        <w:rPr>
          <w:sz w:val="20"/>
          <w:szCs w:val="20"/>
        </w:rPr>
        <w:t>κ</w:t>
      </w:r>
      <w:r>
        <w:rPr>
          <w:sz w:val="20"/>
          <w:szCs w:val="20"/>
        </w:rPr>
        <w:t>εφαλαίου αναμένεται να διεξαχθεί μέσω βιβλίου προσφορών σε διεθνείς θεσμικούς επενδυτές και δημόσιας προσφοράς στην Ελλάδ</w:t>
      </w:r>
      <w:r w:rsidR="00285C1D">
        <w:rPr>
          <w:sz w:val="20"/>
          <w:szCs w:val="20"/>
        </w:rPr>
        <w:t>α</w:t>
      </w:r>
      <w:r w:rsidR="00017DA7">
        <w:rPr>
          <w:sz w:val="20"/>
          <w:szCs w:val="20"/>
        </w:rPr>
        <w:t>.</w:t>
      </w:r>
    </w:p>
    <w:p w14:paraId="0E36C75F" w14:textId="39569519" w:rsidR="00FB73D2" w:rsidRDefault="00FB73D2" w:rsidP="00745ABB">
      <w:pPr>
        <w:framePr w:w="8486" w:hSpace="180" w:wrap="around" w:vAnchor="text" w:hAnchor="page" w:x="2608" w:y="515"/>
        <w:overflowPunct w:val="0"/>
        <w:autoSpaceDE w:val="0"/>
        <w:autoSpaceDN w:val="0"/>
        <w:spacing w:beforeLines="120" w:before="288" w:line="280" w:lineRule="exact"/>
        <w:ind w:left="142" w:right="113"/>
        <w:jc w:val="both"/>
        <w:rPr>
          <w:sz w:val="20"/>
          <w:szCs w:val="20"/>
        </w:rPr>
      </w:pPr>
      <w:r>
        <w:rPr>
          <w:sz w:val="20"/>
          <w:szCs w:val="20"/>
        </w:rPr>
        <w:t xml:space="preserve">Οι </w:t>
      </w:r>
      <w:r>
        <w:rPr>
          <w:sz w:val="20"/>
          <w:szCs w:val="20"/>
          <w:lang w:val="en-US"/>
        </w:rPr>
        <w:t>Goldman</w:t>
      </w:r>
      <w:r w:rsidRPr="0096597C">
        <w:rPr>
          <w:sz w:val="20"/>
          <w:szCs w:val="20"/>
        </w:rPr>
        <w:t xml:space="preserve"> </w:t>
      </w:r>
      <w:r>
        <w:rPr>
          <w:sz w:val="20"/>
          <w:szCs w:val="20"/>
          <w:lang w:val="en-US"/>
        </w:rPr>
        <w:t>Sachs</w:t>
      </w:r>
      <w:r w:rsidRPr="0096597C">
        <w:rPr>
          <w:sz w:val="20"/>
          <w:szCs w:val="20"/>
        </w:rPr>
        <w:t xml:space="preserve"> </w:t>
      </w:r>
      <w:r>
        <w:rPr>
          <w:sz w:val="20"/>
          <w:szCs w:val="20"/>
          <w:lang w:val="en-US"/>
        </w:rPr>
        <w:t>Bank</w:t>
      </w:r>
      <w:r w:rsidRPr="0096597C">
        <w:rPr>
          <w:sz w:val="20"/>
          <w:szCs w:val="20"/>
        </w:rPr>
        <w:t xml:space="preserve"> </w:t>
      </w:r>
      <w:r>
        <w:rPr>
          <w:sz w:val="20"/>
          <w:szCs w:val="20"/>
          <w:lang w:val="en-US"/>
        </w:rPr>
        <w:t>Europe</w:t>
      </w:r>
      <w:r w:rsidRPr="0096597C">
        <w:rPr>
          <w:sz w:val="20"/>
          <w:szCs w:val="20"/>
        </w:rPr>
        <w:t xml:space="preserve"> </w:t>
      </w:r>
      <w:r>
        <w:rPr>
          <w:sz w:val="20"/>
          <w:szCs w:val="20"/>
          <w:lang w:val="en-US"/>
        </w:rPr>
        <w:t>SE</w:t>
      </w:r>
      <w:r w:rsidRPr="0096597C">
        <w:rPr>
          <w:sz w:val="20"/>
          <w:szCs w:val="20"/>
        </w:rPr>
        <w:t xml:space="preserve"> </w:t>
      </w:r>
      <w:r>
        <w:rPr>
          <w:sz w:val="20"/>
          <w:szCs w:val="20"/>
        </w:rPr>
        <w:t>και</w:t>
      </w:r>
      <w:r w:rsidR="00285C1D">
        <w:rPr>
          <w:sz w:val="20"/>
          <w:szCs w:val="20"/>
        </w:rPr>
        <w:t xml:space="preserve"> </w:t>
      </w:r>
      <w:r>
        <w:rPr>
          <w:sz w:val="20"/>
          <w:szCs w:val="20"/>
          <w:lang w:val="en-US"/>
        </w:rPr>
        <w:t>UBS</w:t>
      </w:r>
      <w:r w:rsidRPr="0096597C">
        <w:rPr>
          <w:sz w:val="20"/>
          <w:szCs w:val="20"/>
        </w:rPr>
        <w:t xml:space="preserve"> </w:t>
      </w:r>
      <w:r>
        <w:rPr>
          <w:sz w:val="20"/>
          <w:szCs w:val="20"/>
          <w:lang w:val="en-US"/>
        </w:rPr>
        <w:t>Europe</w:t>
      </w:r>
      <w:r w:rsidRPr="0096597C">
        <w:rPr>
          <w:sz w:val="20"/>
          <w:szCs w:val="20"/>
        </w:rPr>
        <w:t xml:space="preserve"> </w:t>
      </w:r>
      <w:r>
        <w:rPr>
          <w:sz w:val="20"/>
          <w:szCs w:val="20"/>
          <w:lang w:val="en-US"/>
        </w:rPr>
        <w:t>SE</w:t>
      </w:r>
      <w:r w:rsidRPr="0096597C">
        <w:rPr>
          <w:sz w:val="20"/>
          <w:szCs w:val="20"/>
        </w:rPr>
        <w:t xml:space="preserve"> </w:t>
      </w:r>
      <w:r w:rsidR="00285C1D">
        <w:rPr>
          <w:sz w:val="20"/>
          <w:szCs w:val="20"/>
        </w:rPr>
        <w:t>ενεργούν ως</w:t>
      </w:r>
      <w:r>
        <w:rPr>
          <w:sz w:val="20"/>
          <w:szCs w:val="20"/>
        </w:rPr>
        <w:t xml:space="preserve"> </w:t>
      </w:r>
      <w:r w:rsidR="00337141">
        <w:rPr>
          <w:sz w:val="20"/>
          <w:szCs w:val="20"/>
        </w:rPr>
        <w:t>χρηματοοικονομικοί</w:t>
      </w:r>
      <w:r>
        <w:rPr>
          <w:sz w:val="20"/>
          <w:szCs w:val="20"/>
        </w:rPr>
        <w:t xml:space="preserve"> σύμβουλοι της </w:t>
      </w:r>
      <w:r w:rsidR="00285C1D">
        <w:rPr>
          <w:sz w:val="20"/>
          <w:szCs w:val="20"/>
        </w:rPr>
        <w:t xml:space="preserve">Πειραιώς </w:t>
      </w:r>
      <w:r w:rsidR="00017DA7">
        <w:rPr>
          <w:sz w:val="20"/>
          <w:szCs w:val="20"/>
          <w:lang w:val="en-US"/>
        </w:rPr>
        <w:t>Financial</w:t>
      </w:r>
      <w:r w:rsidR="00017DA7" w:rsidRPr="00017DA7">
        <w:rPr>
          <w:sz w:val="20"/>
          <w:szCs w:val="20"/>
        </w:rPr>
        <w:t xml:space="preserve"> </w:t>
      </w:r>
      <w:r w:rsidR="00017DA7">
        <w:rPr>
          <w:sz w:val="20"/>
          <w:szCs w:val="20"/>
          <w:lang w:val="en-US"/>
        </w:rPr>
        <w:t>Holdings</w:t>
      </w:r>
      <w:r w:rsidR="00017DA7" w:rsidRPr="00017DA7">
        <w:rPr>
          <w:sz w:val="20"/>
          <w:szCs w:val="20"/>
        </w:rPr>
        <w:t xml:space="preserve"> </w:t>
      </w:r>
      <w:r w:rsidR="00285C1D">
        <w:rPr>
          <w:sz w:val="20"/>
          <w:szCs w:val="20"/>
        </w:rPr>
        <w:t>σ</w:t>
      </w:r>
      <w:r>
        <w:rPr>
          <w:sz w:val="20"/>
          <w:szCs w:val="20"/>
        </w:rPr>
        <w:t xml:space="preserve">το πλαίσιο της </w:t>
      </w:r>
      <w:r w:rsidR="00285C1D">
        <w:rPr>
          <w:sz w:val="20"/>
          <w:szCs w:val="20"/>
        </w:rPr>
        <w:t>α</w:t>
      </w:r>
      <w:r>
        <w:rPr>
          <w:sz w:val="20"/>
          <w:szCs w:val="20"/>
        </w:rPr>
        <w:t>ύξηση</w:t>
      </w:r>
      <w:r w:rsidR="00285C1D">
        <w:rPr>
          <w:sz w:val="20"/>
          <w:szCs w:val="20"/>
        </w:rPr>
        <w:t>ς</w:t>
      </w:r>
      <w:r>
        <w:rPr>
          <w:sz w:val="20"/>
          <w:szCs w:val="20"/>
        </w:rPr>
        <w:t xml:space="preserve"> </w:t>
      </w:r>
      <w:r w:rsidR="00285C1D">
        <w:rPr>
          <w:sz w:val="20"/>
          <w:szCs w:val="20"/>
        </w:rPr>
        <w:t>μ</w:t>
      </w:r>
      <w:r>
        <w:rPr>
          <w:sz w:val="20"/>
          <w:szCs w:val="20"/>
        </w:rPr>
        <w:t xml:space="preserve">ετοχικού </w:t>
      </w:r>
      <w:r w:rsidR="00285C1D">
        <w:rPr>
          <w:sz w:val="20"/>
          <w:szCs w:val="20"/>
        </w:rPr>
        <w:t>κ</w:t>
      </w:r>
      <w:r>
        <w:rPr>
          <w:sz w:val="20"/>
          <w:szCs w:val="20"/>
        </w:rPr>
        <w:t>εφαλαίου</w:t>
      </w:r>
      <w:r w:rsidR="00017DA7">
        <w:rPr>
          <w:sz w:val="20"/>
          <w:szCs w:val="20"/>
        </w:rPr>
        <w:t>.</w:t>
      </w:r>
    </w:p>
    <w:p w14:paraId="6CE3A52C" w14:textId="668B47B9" w:rsidR="0096597C" w:rsidRPr="000E36F3" w:rsidRDefault="0096597C" w:rsidP="0096597C">
      <w:pPr>
        <w:shd w:val="clear" w:color="auto" w:fill="FFFFFF" w:themeFill="background1"/>
        <w:tabs>
          <w:tab w:val="left" w:pos="9214"/>
        </w:tabs>
        <w:spacing w:after="120" w:line="300" w:lineRule="exact"/>
        <w:ind w:right="-432"/>
        <w:rPr>
          <w:sz w:val="20"/>
          <w:szCs w:val="20"/>
        </w:rPr>
      </w:pPr>
    </w:p>
    <w:p w14:paraId="74448AAF" w14:textId="77777777" w:rsidR="00BC7F73" w:rsidRPr="00B339B5" w:rsidRDefault="00BC7F73" w:rsidP="004D39DA">
      <w:pPr>
        <w:spacing w:after="160" w:line="240" w:lineRule="exact"/>
        <w:ind w:left="2880" w:firstLine="720"/>
        <w:jc w:val="right"/>
        <w:rPr>
          <w:i/>
          <w:iCs/>
          <w:sz w:val="18"/>
          <w:szCs w:val="18"/>
        </w:rPr>
      </w:pPr>
    </w:p>
    <w:p w14:paraId="0489459A" w14:textId="77777777" w:rsidR="00BC7F73" w:rsidRPr="00B339B5" w:rsidRDefault="00BC7F73" w:rsidP="004D39DA">
      <w:pPr>
        <w:spacing w:after="160" w:line="240" w:lineRule="exact"/>
        <w:ind w:left="2880" w:firstLine="720"/>
        <w:jc w:val="right"/>
        <w:rPr>
          <w:i/>
          <w:iCs/>
          <w:sz w:val="18"/>
          <w:szCs w:val="18"/>
        </w:rPr>
      </w:pPr>
    </w:p>
    <w:p w14:paraId="213FD953" w14:textId="77777777" w:rsidR="00BC7F73" w:rsidRPr="00B339B5" w:rsidRDefault="00BC7F73" w:rsidP="004D39DA">
      <w:pPr>
        <w:spacing w:after="160" w:line="240" w:lineRule="exact"/>
        <w:ind w:left="2880" w:firstLine="720"/>
        <w:jc w:val="right"/>
        <w:rPr>
          <w:i/>
          <w:iCs/>
          <w:sz w:val="18"/>
          <w:szCs w:val="18"/>
        </w:rPr>
      </w:pPr>
    </w:p>
    <w:p w14:paraId="2980F75B" w14:textId="77777777" w:rsidR="00C1355C" w:rsidRPr="00D719DB" w:rsidRDefault="00C1355C" w:rsidP="004318AB">
      <w:pPr>
        <w:spacing w:after="0" w:line="240" w:lineRule="exact"/>
        <w:ind w:left="-1080"/>
        <w:jc w:val="right"/>
        <w:rPr>
          <w:rFonts w:eastAsia="Times New Roman" w:cs="Calibri"/>
          <w:b/>
          <w:i/>
          <w:color w:val="6691AB"/>
          <w:sz w:val="27"/>
          <w:szCs w:val="27"/>
        </w:rPr>
      </w:pPr>
    </w:p>
    <w:p w14:paraId="539E2C5C" w14:textId="77777777" w:rsidR="00C1355C" w:rsidRDefault="00C1355C" w:rsidP="004318AB">
      <w:pPr>
        <w:spacing w:after="0" w:line="240" w:lineRule="exact"/>
        <w:ind w:left="-1080"/>
        <w:jc w:val="right"/>
        <w:rPr>
          <w:rFonts w:eastAsia="Times New Roman" w:cs="Calibri"/>
          <w:b/>
          <w:i/>
          <w:color w:val="6691AB"/>
          <w:sz w:val="27"/>
          <w:szCs w:val="27"/>
        </w:rPr>
      </w:pPr>
    </w:p>
    <w:p w14:paraId="76189824" w14:textId="77777777" w:rsidR="00C1355C" w:rsidRDefault="00C1355C" w:rsidP="004318AB">
      <w:pPr>
        <w:spacing w:after="0" w:line="240" w:lineRule="exact"/>
        <w:ind w:left="-1080"/>
        <w:jc w:val="right"/>
        <w:rPr>
          <w:rFonts w:eastAsia="Times New Roman" w:cs="Calibri"/>
          <w:b/>
          <w:i/>
          <w:color w:val="6691AB"/>
          <w:sz w:val="27"/>
          <w:szCs w:val="27"/>
        </w:rPr>
      </w:pPr>
    </w:p>
    <w:p w14:paraId="28918B4D" w14:textId="77777777" w:rsidR="00C1355C" w:rsidRDefault="00C1355C" w:rsidP="004318AB">
      <w:pPr>
        <w:spacing w:after="0" w:line="240" w:lineRule="exact"/>
        <w:ind w:left="-1080"/>
        <w:jc w:val="right"/>
        <w:rPr>
          <w:rFonts w:eastAsia="Times New Roman" w:cs="Calibri"/>
          <w:b/>
          <w:i/>
          <w:color w:val="6691AB"/>
          <w:sz w:val="27"/>
          <w:szCs w:val="27"/>
        </w:rPr>
      </w:pPr>
    </w:p>
    <w:p w14:paraId="7299C3F0" w14:textId="77777777" w:rsidR="00C1355C" w:rsidRDefault="00C1355C" w:rsidP="004318AB">
      <w:pPr>
        <w:spacing w:after="0" w:line="240" w:lineRule="exact"/>
        <w:ind w:left="-1080"/>
        <w:jc w:val="right"/>
        <w:rPr>
          <w:rFonts w:eastAsia="Times New Roman" w:cs="Calibri"/>
          <w:b/>
          <w:i/>
          <w:color w:val="6691AB"/>
          <w:sz w:val="27"/>
          <w:szCs w:val="27"/>
        </w:rPr>
      </w:pPr>
    </w:p>
    <w:p w14:paraId="0FFECC85" w14:textId="77777777" w:rsidR="00C1355C" w:rsidRDefault="00C1355C" w:rsidP="004318AB">
      <w:pPr>
        <w:spacing w:after="0" w:line="240" w:lineRule="exact"/>
        <w:ind w:left="-1080"/>
        <w:jc w:val="right"/>
        <w:rPr>
          <w:rFonts w:eastAsia="Times New Roman" w:cs="Calibri"/>
          <w:b/>
          <w:i/>
          <w:color w:val="6691AB"/>
          <w:sz w:val="27"/>
          <w:szCs w:val="27"/>
        </w:rPr>
      </w:pPr>
    </w:p>
    <w:p w14:paraId="3CF8C762" w14:textId="77777777" w:rsidR="00C1355C" w:rsidRDefault="00C1355C" w:rsidP="004318AB">
      <w:pPr>
        <w:spacing w:after="0" w:line="240" w:lineRule="exact"/>
        <w:ind w:left="-1080"/>
        <w:jc w:val="right"/>
        <w:rPr>
          <w:rFonts w:eastAsia="Times New Roman" w:cs="Calibri"/>
          <w:b/>
          <w:i/>
          <w:color w:val="6691AB"/>
          <w:sz w:val="27"/>
          <w:szCs w:val="27"/>
        </w:rPr>
      </w:pPr>
    </w:p>
    <w:p w14:paraId="2F05D5DE" w14:textId="77777777" w:rsidR="00C1355C" w:rsidRDefault="00C1355C" w:rsidP="004318AB">
      <w:pPr>
        <w:spacing w:after="0" w:line="240" w:lineRule="exact"/>
        <w:ind w:left="-1080"/>
        <w:jc w:val="right"/>
        <w:rPr>
          <w:rFonts w:eastAsia="Times New Roman" w:cs="Calibri"/>
          <w:b/>
          <w:i/>
          <w:color w:val="6691AB"/>
          <w:sz w:val="27"/>
          <w:szCs w:val="27"/>
        </w:rPr>
      </w:pPr>
    </w:p>
    <w:p w14:paraId="563E1EE5" w14:textId="20F04C51" w:rsidR="008262AF" w:rsidRDefault="00891197" w:rsidP="004318AB">
      <w:pPr>
        <w:spacing w:after="0" w:line="240" w:lineRule="exact"/>
        <w:ind w:left="-1080"/>
        <w:jc w:val="right"/>
        <w:rPr>
          <w:rFonts w:eastAsia="Times New Roman" w:cs="Calibri"/>
          <w:b/>
          <w:i/>
          <w:color w:val="6691AB"/>
          <w:sz w:val="27"/>
          <w:szCs w:val="27"/>
        </w:rPr>
      </w:pPr>
      <w:r w:rsidRPr="00891197">
        <w:rPr>
          <w:rFonts w:eastAsia="Times New Roman" w:cs="Calibri"/>
          <w:b/>
          <w:i/>
          <w:color w:val="6691AB"/>
          <w:sz w:val="27"/>
          <w:szCs w:val="27"/>
        </w:rPr>
        <w:lastRenderedPageBreak/>
        <w:t xml:space="preserve">Η Τράπεζα Πειραιώς </w:t>
      </w:r>
      <w:r w:rsidR="00997248">
        <w:rPr>
          <w:rFonts w:eastAsia="Times New Roman" w:cs="Calibri"/>
          <w:b/>
          <w:i/>
          <w:color w:val="6691AB"/>
          <w:sz w:val="27"/>
          <w:szCs w:val="27"/>
        </w:rPr>
        <w:t>Υ</w:t>
      </w:r>
      <w:r w:rsidRPr="00891197">
        <w:rPr>
          <w:rFonts w:eastAsia="Times New Roman" w:cs="Calibri"/>
          <w:b/>
          <w:i/>
          <w:color w:val="6691AB"/>
          <w:sz w:val="27"/>
          <w:szCs w:val="27"/>
        </w:rPr>
        <w:t xml:space="preserve">πέβαλε </w:t>
      </w:r>
      <w:r w:rsidR="00997248">
        <w:rPr>
          <w:rFonts w:eastAsia="Times New Roman" w:cs="Calibri"/>
          <w:b/>
          <w:i/>
          <w:color w:val="6691AB"/>
          <w:sz w:val="27"/>
          <w:szCs w:val="27"/>
        </w:rPr>
        <w:t>Α</w:t>
      </w:r>
      <w:r w:rsidRPr="00891197">
        <w:rPr>
          <w:rFonts w:eastAsia="Times New Roman" w:cs="Calibri"/>
          <w:b/>
          <w:i/>
          <w:color w:val="6691AB"/>
          <w:sz w:val="27"/>
          <w:szCs w:val="27"/>
        </w:rPr>
        <w:t xml:space="preserve">ίτηση </w:t>
      </w:r>
      <w:r w:rsidR="00997248">
        <w:rPr>
          <w:rFonts w:eastAsia="Times New Roman" w:cs="Calibri"/>
          <w:b/>
          <w:i/>
          <w:color w:val="6691AB"/>
          <w:sz w:val="27"/>
          <w:szCs w:val="27"/>
        </w:rPr>
        <w:t>Υ</w:t>
      </w:r>
      <w:r w:rsidRPr="00891197">
        <w:rPr>
          <w:rFonts w:eastAsia="Times New Roman" w:cs="Calibri"/>
          <w:b/>
          <w:i/>
          <w:color w:val="6691AB"/>
          <w:sz w:val="27"/>
          <w:szCs w:val="27"/>
        </w:rPr>
        <w:t xml:space="preserve">παγωγής της </w:t>
      </w:r>
      <w:proofErr w:type="spellStart"/>
      <w:r w:rsidR="00997248">
        <w:rPr>
          <w:rFonts w:eastAsia="Times New Roman" w:cs="Calibri"/>
          <w:b/>
          <w:i/>
          <w:color w:val="6691AB"/>
          <w:sz w:val="27"/>
          <w:szCs w:val="27"/>
        </w:rPr>
        <w:t>Τ</w:t>
      </w:r>
      <w:r w:rsidRPr="00891197">
        <w:rPr>
          <w:rFonts w:eastAsia="Times New Roman" w:cs="Calibri"/>
          <w:b/>
          <w:i/>
          <w:color w:val="6691AB"/>
          <w:sz w:val="27"/>
          <w:szCs w:val="27"/>
        </w:rPr>
        <w:t>ιτλοποίησης</w:t>
      </w:r>
      <w:proofErr w:type="spellEnd"/>
      <w:r w:rsidRPr="00891197">
        <w:rPr>
          <w:rFonts w:eastAsia="Times New Roman" w:cs="Calibri"/>
          <w:b/>
          <w:i/>
          <w:color w:val="6691AB"/>
          <w:sz w:val="27"/>
          <w:szCs w:val="27"/>
        </w:rPr>
        <w:t xml:space="preserve"> </w:t>
      </w:r>
      <w:proofErr w:type="spellStart"/>
      <w:r>
        <w:rPr>
          <w:rFonts w:eastAsia="Times New Roman" w:cs="Calibri"/>
          <w:b/>
          <w:i/>
          <w:color w:val="6691AB"/>
          <w:sz w:val="27"/>
          <w:szCs w:val="27"/>
        </w:rPr>
        <w:t>Sunrise</w:t>
      </w:r>
      <w:proofErr w:type="spellEnd"/>
      <w:r>
        <w:rPr>
          <w:rFonts w:eastAsia="Times New Roman" w:cs="Calibri"/>
          <w:b/>
          <w:i/>
          <w:color w:val="6691AB"/>
          <w:sz w:val="27"/>
          <w:szCs w:val="27"/>
        </w:rPr>
        <w:t xml:space="preserve"> 1</w:t>
      </w:r>
    </w:p>
    <w:p w14:paraId="0DEA6245" w14:textId="5BB78F24" w:rsidR="00C1355C" w:rsidRDefault="00891197" w:rsidP="004318AB">
      <w:pPr>
        <w:spacing w:after="0" w:line="240" w:lineRule="exact"/>
        <w:ind w:left="-1080"/>
        <w:jc w:val="right"/>
        <w:rPr>
          <w:rFonts w:eastAsia="Times New Roman" w:cs="Calibri"/>
          <w:b/>
          <w:i/>
          <w:color w:val="6691AB"/>
          <w:sz w:val="27"/>
          <w:szCs w:val="27"/>
        </w:rPr>
      </w:pPr>
      <w:r w:rsidRPr="00891197">
        <w:rPr>
          <w:rFonts w:eastAsia="Times New Roman" w:cs="Calibri"/>
          <w:b/>
          <w:i/>
          <w:color w:val="6691AB"/>
          <w:sz w:val="27"/>
          <w:szCs w:val="27"/>
        </w:rPr>
        <w:t xml:space="preserve">στο </w:t>
      </w:r>
      <w:r w:rsidR="00997248">
        <w:rPr>
          <w:rFonts w:eastAsia="Times New Roman" w:cs="Calibri"/>
          <w:b/>
          <w:i/>
          <w:color w:val="6691AB"/>
          <w:sz w:val="27"/>
          <w:szCs w:val="27"/>
        </w:rPr>
        <w:t>Π</w:t>
      </w:r>
      <w:r w:rsidRPr="00891197">
        <w:rPr>
          <w:rFonts w:eastAsia="Times New Roman" w:cs="Calibri"/>
          <w:b/>
          <w:i/>
          <w:color w:val="6691AB"/>
          <w:sz w:val="27"/>
          <w:szCs w:val="27"/>
        </w:rPr>
        <w:t xml:space="preserve">ρόγραμμα </w:t>
      </w:r>
      <w:r w:rsidR="00997248">
        <w:rPr>
          <w:rFonts w:eastAsia="Times New Roman" w:cs="Calibri"/>
          <w:b/>
          <w:i/>
          <w:color w:val="6691AB"/>
          <w:sz w:val="27"/>
          <w:szCs w:val="27"/>
        </w:rPr>
        <w:t>Π</w:t>
      </w:r>
      <w:r w:rsidRPr="00891197">
        <w:rPr>
          <w:rFonts w:eastAsia="Times New Roman" w:cs="Calibri"/>
          <w:b/>
          <w:i/>
          <w:color w:val="6691AB"/>
          <w:sz w:val="27"/>
          <w:szCs w:val="27"/>
        </w:rPr>
        <w:t xml:space="preserve">αροχής </w:t>
      </w:r>
      <w:r w:rsidR="00997248">
        <w:rPr>
          <w:rFonts w:eastAsia="Times New Roman" w:cs="Calibri"/>
          <w:b/>
          <w:i/>
          <w:color w:val="6691AB"/>
          <w:sz w:val="27"/>
          <w:szCs w:val="27"/>
        </w:rPr>
        <w:t>Ε</w:t>
      </w:r>
      <w:r w:rsidRPr="00891197">
        <w:rPr>
          <w:rFonts w:eastAsia="Times New Roman" w:cs="Calibri"/>
          <w:b/>
          <w:i/>
          <w:color w:val="6691AB"/>
          <w:sz w:val="27"/>
          <w:szCs w:val="27"/>
        </w:rPr>
        <w:t>γγυήσεων «Ηρακλής»</w:t>
      </w:r>
    </w:p>
    <w:p w14:paraId="73C8A284" w14:textId="77777777" w:rsidR="00C1355C" w:rsidRDefault="00C1355C" w:rsidP="004318AB">
      <w:pPr>
        <w:spacing w:after="0" w:line="240" w:lineRule="exact"/>
        <w:ind w:left="-1080"/>
        <w:jc w:val="right"/>
        <w:rPr>
          <w:rFonts w:eastAsia="Times New Roman" w:cs="Calibri"/>
          <w:b/>
          <w:i/>
          <w:color w:val="6691AB"/>
          <w:sz w:val="27"/>
          <w:szCs w:val="27"/>
        </w:rPr>
      </w:pPr>
    </w:p>
    <w:p w14:paraId="730F9DA8" w14:textId="76DB23EC" w:rsidR="00686CDB" w:rsidRDefault="00891197" w:rsidP="00686CDB">
      <w:pPr>
        <w:spacing w:before="240" w:after="80" w:line="240" w:lineRule="exact"/>
        <w:ind w:right="-187"/>
        <w:jc w:val="both"/>
        <w:rPr>
          <w:rFonts w:cstheme="minorHAnsi"/>
          <w:color w:val="3F3927"/>
          <w:sz w:val="20"/>
          <w:szCs w:val="20"/>
        </w:rPr>
      </w:pPr>
      <w:r w:rsidRPr="00891197">
        <w:rPr>
          <w:rFonts w:cstheme="minorHAnsi"/>
          <w:color w:val="3F3927"/>
          <w:sz w:val="20"/>
          <w:szCs w:val="20"/>
        </w:rPr>
        <w:t xml:space="preserve">Η Πειραιώς </w:t>
      </w:r>
      <w:r>
        <w:rPr>
          <w:rFonts w:cstheme="minorHAnsi"/>
          <w:color w:val="3F3927"/>
          <w:sz w:val="20"/>
          <w:szCs w:val="20"/>
          <w:lang w:val="en-US"/>
        </w:rPr>
        <w:t>Financial</w:t>
      </w:r>
      <w:r w:rsidRPr="00891197">
        <w:rPr>
          <w:rFonts w:cstheme="minorHAnsi"/>
          <w:color w:val="3F3927"/>
          <w:sz w:val="20"/>
          <w:szCs w:val="20"/>
        </w:rPr>
        <w:t xml:space="preserve"> </w:t>
      </w:r>
      <w:r>
        <w:rPr>
          <w:rFonts w:cstheme="minorHAnsi"/>
          <w:color w:val="3F3927"/>
          <w:sz w:val="20"/>
          <w:szCs w:val="20"/>
          <w:lang w:val="en-US"/>
        </w:rPr>
        <w:t>Holdings</w:t>
      </w:r>
      <w:r w:rsidRPr="00891197">
        <w:rPr>
          <w:rFonts w:cstheme="minorHAnsi"/>
          <w:color w:val="3F3927"/>
          <w:sz w:val="20"/>
          <w:szCs w:val="20"/>
        </w:rPr>
        <w:t xml:space="preserve"> προχωρά στην </w:t>
      </w:r>
      <w:r>
        <w:rPr>
          <w:rFonts w:cstheme="minorHAnsi"/>
          <w:color w:val="3F3927"/>
          <w:sz w:val="20"/>
          <w:szCs w:val="20"/>
        </w:rPr>
        <w:t xml:space="preserve">άμεση </w:t>
      </w:r>
      <w:r w:rsidRPr="00891197">
        <w:rPr>
          <w:rFonts w:cstheme="minorHAnsi"/>
          <w:color w:val="3F3927"/>
          <w:sz w:val="20"/>
          <w:szCs w:val="20"/>
        </w:rPr>
        <w:t xml:space="preserve">υλοποίηση της </w:t>
      </w:r>
      <w:proofErr w:type="spellStart"/>
      <w:r w:rsidRPr="00891197">
        <w:rPr>
          <w:rFonts w:cstheme="minorHAnsi"/>
          <w:color w:val="3F3927"/>
          <w:sz w:val="20"/>
          <w:szCs w:val="20"/>
        </w:rPr>
        <w:t>τιτλοποίησης</w:t>
      </w:r>
      <w:proofErr w:type="spellEnd"/>
      <w:r w:rsidRPr="00891197">
        <w:rPr>
          <w:rFonts w:cstheme="minorHAnsi"/>
          <w:color w:val="3F3927"/>
          <w:sz w:val="20"/>
          <w:szCs w:val="20"/>
        </w:rPr>
        <w:t xml:space="preserve"> μη εξυπηρετούμενων δανείων με την </w:t>
      </w:r>
      <w:proofErr w:type="spellStart"/>
      <w:r w:rsidRPr="00891197">
        <w:rPr>
          <w:rFonts w:cstheme="minorHAnsi"/>
          <w:color w:val="3F3927"/>
          <w:sz w:val="20"/>
          <w:szCs w:val="20"/>
        </w:rPr>
        <w:t>κωδική</w:t>
      </w:r>
      <w:proofErr w:type="spellEnd"/>
      <w:r w:rsidRPr="00891197">
        <w:rPr>
          <w:rFonts w:cstheme="minorHAnsi"/>
          <w:color w:val="3F3927"/>
          <w:sz w:val="20"/>
          <w:szCs w:val="20"/>
        </w:rPr>
        <w:t xml:space="preserve"> ονομασία «</w:t>
      </w:r>
      <w:r>
        <w:rPr>
          <w:rFonts w:cstheme="minorHAnsi"/>
          <w:color w:val="3F3927"/>
          <w:sz w:val="20"/>
          <w:szCs w:val="20"/>
          <w:lang w:val="en-US"/>
        </w:rPr>
        <w:t>Sunrise</w:t>
      </w:r>
      <w:r w:rsidRPr="00891197">
        <w:rPr>
          <w:rFonts w:cstheme="minorHAnsi"/>
          <w:color w:val="3F3927"/>
          <w:sz w:val="20"/>
          <w:szCs w:val="20"/>
        </w:rPr>
        <w:t xml:space="preserve"> 1», </w:t>
      </w:r>
      <w:r w:rsidR="00190C95">
        <w:rPr>
          <w:rFonts w:cstheme="minorHAnsi"/>
          <w:color w:val="3F3927"/>
          <w:sz w:val="20"/>
          <w:szCs w:val="20"/>
        </w:rPr>
        <w:t xml:space="preserve">η οποία ανακοινώθηκε σήμερα, με </w:t>
      </w:r>
      <w:r w:rsidRPr="00891197">
        <w:rPr>
          <w:rFonts w:cstheme="minorHAnsi"/>
          <w:color w:val="3F3927"/>
          <w:sz w:val="20"/>
          <w:szCs w:val="20"/>
        </w:rPr>
        <w:t xml:space="preserve">συνολική λογιστική αξία </w:t>
      </w:r>
      <w:r w:rsidR="00190C95">
        <w:rPr>
          <w:rFonts w:cstheme="minorHAnsi"/>
          <w:color w:val="3F3927"/>
          <w:sz w:val="20"/>
          <w:szCs w:val="20"/>
        </w:rPr>
        <w:t xml:space="preserve">περίπου </w:t>
      </w:r>
      <w:r w:rsidRPr="00891197">
        <w:rPr>
          <w:rFonts w:cstheme="minorHAnsi"/>
          <w:color w:val="3F3927"/>
          <w:sz w:val="20"/>
          <w:szCs w:val="20"/>
        </w:rPr>
        <w:t>€</w:t>
      </w:r>
      <w:r w:rsidR="00190C95">
        <w:rPr>
          <w:rFonts w:cstheme="minorHAnsi"/>
          <w:color w:val="3F3927"/>
          <w:sz w:val="20"/>
          <w:szCs w:val="20"/>
        </w:rPr>
        <w:t>7</w:t>
      </w:r>
      <w:r w:rsidRPr="00891197">
        <w:rPr>
          <w:rFonts w:cstheme="minorHAnsi"/>
          <w:color w:val="3F3927"/>
          <w:sz w:val="20"/>
          <w:szCs w:val="20"/>
        </w:rPr>
        <w:t xml:space="preserve">δισ., η πλειονότητα </w:t>
      </w:r>
      <w:r w:rsidR="008262AF">
        <w:rPr>
          <w:rFonts w:cstheme="minorHAnsi"/>
          <w:color w:val="3F3927"/>
          <w:sz w:val="20"/>
          <w:szCs w:val="20"/>
        </w:rPr>
        <w:t xml:space="preserve">της οποίας </w:t>
      </w:r>
      <w:r w:rsidRPr="00891197">
        <w:rPr>
          <w:rFonts w:cstheme="minorHAnsi"/>
          <w:color w:val="3F3927"/>
          <w:sz w:val="20"/>
          <w:szCs w:val="20"/>
        </w:rPr>
        <w:t xml:space="preserve">αφορά </w:t>
      </w:r>
      <w:r w:rsidR="008262AF">
        <w:rPr>
          <w:rFonts w:cstheme="minorHAnsi"/>
          <w:color w:val="3F3927"/>
          <w:sz w:val="20"/>
          <w:szCs w:val="20"/>
        </w:rPr>
        <w:t xml:space="preserve">σε </w:t>
      </w:r>
      <w:r w:rsidR="00190C95">
        <w:rPr>
          <w:rFonts w:cstheme="minorHAnsi"/>
          <w:color w:val="3F3927"/>
          <w:sz w:val="20"/>
          <w:szCs w:val="20"/>
        </w:rPr>
        <w:t>δάνεια σε οριστική καθυστέρηση</w:t>
      </w:r>
      <w:r w:rsidRPr="00891197">
        <w:rPr>
          <w:rFonts w:cstheme="minorHAnsi"/>
          <w:color w:val="3F3927"/>
          <w:sz w:val="20"/>
          <w:szCs w:val="20"/>
        </w:rPr>
        <w:t>.</w:t>
      </w:r>
      <w:r w:rsidRPr="00891197">
        <w:rPr>
          <w:rFonts w:cstheme="minorHAnsi"/>
          <w:color w:val="3F3927"/>
          <w:sz w:val="20"/>
          <w:szCs w:val="20"/>
        </w:rPr>
        <w:br/>
      </w:r>
      <w:r w:rsidRPr="00891197">
        <w:rPr>
          <w:rFonts w:cstheme="minorHAnsi"/>
          <w:color w:val="3F3927"/>
          <w:sz w:val="20"/>
          <w:szCs w:val="20"/>
        </w:rPr>
        <w:br/>
        <w:t xml:space="preserve">Στο πλαίσιο αυτό, η Τράπεζα Πειραιώς υπέβαλε αίτηση βάσει του ν.4649/2019 για την ένταξη της </w:t>
      </w:r>
      <w:proofErr w:type="spellStart"/>
      <w:r w:rsidRPr="00891197">
        <w:rPr>
          <w:rFonts w:cstheme="minorHAnsi"/>
          <w:color w:val="3F3927"/>
          <w:sz w:val="20"/>
          <w:szCs w:val="20"/>
        </w:rPr>
        <w:t>τιτλοποίησης</w:t>
      </w:r>
      <w:proofErr w:type="spellEnd"/>
      <w:r w:rsidRPr="00891197">
        <w:rPr>
          <w:rFonts w:cstheme="minorHAnsi"/>
          <w:color w:val="3F3927"/>
          <w:sz w:val="20"/>
          <w:szCs w:val="20"/>
        </w:rPr>
        <w:t xml:space="preserve"> </w:t>
      </w:r>
      <w:r w:rsidR="00686CDB">
        <w:rPr>
          <w:rFonts w:cstheme="minorHAnsi"/>
          <w:color w:val="3F3927"/>
          <w:sz w:val="20"/>
          <w:szCs w:val="20"/>
          <w:lang w:val="en-US"/>
        </w:rPr>
        <w:t>Sunrise</w:t>
      </w:r>
      <w:r w:rsidR="00686CDB" w:rsidRPr="00686CDB">
        <w:rPr>
          <w:rFonts w:cstheme="minorHAnsi"/>
          <w:color w:val="3F3927"/>
          <w:sz w:val="20"/>
          <w:szCs w:val="20"/>
        </w:rPr>
        <w:t xml:space="preserve"> 1</w:t>
      </w:r>
      <w:r w:rsidRPr="00891197">
        <w:rPr>
          <w:rFonts w:cstheme="minorHAnsi"/>
          <w:color w:val="3F3927"/>
          <w:sz w:val="20"/>
          <w:szCs w:val="20"/>
        </w:rPr>
        <w:t xml:space="preserve"> στο πρόγραμμα παροχής εγγυήσεων «Ηρακλής».</w:t>
      </w:r>
    </w:p>
    <w:p w14:paraId="3920320A" w14:textId="76B9CBD1" w:rsidR="00265FEA" w:rsidRDefault="00891197" w:rsidP="00686CDB">
      <w:pPr>
        <w:spacing w:before="240" w:after="80" w:line="240" w:lineRule="exact"/>
        <w:ind w:right="-187"/>
        <w:rPr>
          <w:rFonts w:eastAsia="Times New Roman" w:cs="Calibri"/>
          <w:b/>
          <w:i/>
          <w:color w:val="6691AB"/>
          <w:sz w:val="27"/>
          <w:szCs w:val="27"/>
        </w:rPr>
      </w:pPr>
      <w:r w:rsidRPr="00891197">
        <w:rPr>
          <w:rFonts w:cstheme="minorHAnsi"/>
          <w:color w:val="3F3927"/>
          <w:sz w:val="20"/>
          <w:szCs w:val="20"/>
        </w:rPr>
        <w:t>Η αίτηση αφορά στην παροχή εγγύησης από το Ελληνικό Δημόσιο για ομόλογα υψηλής εξοφλητικής</w:t>
      </w:r>
      <w:r w:rsidR="00686CDB" w:rsidRPr="00686CDB">
        <w:rPr>
          <w:rFonts w:cstheme="minorHAnsi"/>
          <w:color w:val="3F3927"/>
          <w:sz w:val="20"/>
          <w:szCs w:val="20"/>
        </w:rPr>
        <w:t xml:space="preserve"> </w:t>
      </w:r>
      <w:r w:rsidRPr="00891197">
        <w:rPr>
          <w:rFonts w:cstheme="minorHAnsi"/>
          <w:color w:val="3F3927"/>
          <w:sz w:val="20"/>
          <w:szCs w:val="20"/>
        </w:rPr>
        <w:t>προτεραιότητας συνολικής αξίας €</w:t>
      </w:r>
      <w:r w:rsidR="00686CDB" w:rsidRPr="00686CDB">
        <w:rPr>
          <w:rFonts w:cstheme="minorHAnsi"/>
          <w:color w:val="3F3927"/>
          <w:sz w:val="20"/>
          <w:szCs w:val="20"/>
        </w:rPr>
        <w:t>2</w:t>
      </w:r>
      <w:r w:rsidRPr="00891197">
        <w:rPr>
          <w:rFonts w:cstheme="minorHAnsi"/>
          <w:color w:val="3F3927"/>
          <w:sz w:val="20"/>
          <w:szCs w:val="20"/>
        </w:rPr>
        <w:t>,</w:t>
      </w:r>
      <w:r w:rsidR="00686CDB" w:rsidRPr="00686CDB">
        <w:rPr>
          <w:rFonts w:cstheme="minorHAnsi"/>
          <w:color w:val="3F3927"/>
          <w:sz w:val="20"/>
          <w:szCs w:val="20"/>
        </w:rPr>
        <w:t>4</w:t>
      </w:r>
      <w:r w:rsidR="00686CDB">
        <w:rPr>
          <w:rFonts w:cstheme="minorHAnsi"/>
          <w:color w:val="3F3927"/>
          <w:sz w:val="20"/>
          <w:szCs w:val="20"/>
        </w:rPr>
        <w:t xml:space="preserve"> </w:t>
      </w:r>
      <w:r w:rsidR="009979CE">
        <w:rPr>
          <w:rFonts w:cstheme="minorHAnsi"/>
          <w:color w:val="3F3927"/>
          <w:sz w:val="20"/>
          <w:szCs w:val="20"/>
        </w:rPr>
        <w:t>δισ.</w:t>
      </w:r>
      <w:r w:rsidR="00686CDB">
        <w:rPr>
          <w:rFonts w:cstheme="minorHAnsi"/>
          <w:color w:val="3F3927"/>
          <w:sz w:val="20"/>
          <w:szCs w:val="20"/>
        </w:rPr>
        <w:t>.</w:t>
      </w:r>
      <w:r w:rsidRPr="00891197">
        <w:rPr>
          <w:rFonts w:cstheme="minorHAnsi"/>
          <w:color w:val="3F3927"/>
          <w:sz w:val="20"/>
          <w:szCs w:val="20"/>
        </w:rPr>
        <w:br/>
      </w:r>
    </w:p>
    <w:p w14:paraId="58BBC51D" w14:textId="77777777" w:rsidR="00265FEA" w:rsidRDefault="00265FEA">
      <w:pPr>
        <w:rPr>
          <w:rFonts w:eastAsia="Times New Roman" w:cs="Calibri"/>
          <w:b/>
          <w:i/>
          <w:color w:val="6691AB"/>
          <w:sz w:val="27"/>
          <w:szCs w:val="27"/>
        </w:rPr>
      </w:pPr>
      <w:r>
        <w:rPr>
          <w:rFonts w:eastAsia="Times New Roman" w:cs="Calibri"/>
          <w:b/>
          <w:i/>
          <w:color w:val="6691AB"/>
          <w:sz w:val="27"/>
          <w:szCs w:val="27"/>
        </w:rPr>
        <w:br w:type="page"/>
      </w:r>
    </w:p>
    <w:p w14:paraId="09D88BFB" w14:textId="77777777" w:rsidR="000E36F3" w:rsidRDefault="000E36F3" w:rsidP="004318AB">
      <w:pPr>
        <w:spacing w:after="0" w:line="240" w:lineRule="exact"/>
        <w:ind w:left="-1080"/>
        <w:jc w:val="right"/>
        <w:rPr>
          <w:rFonts w:eastAsia="Times New Roman" w:cs="Calibri"/>
          <w:b/>
          <w:i/>
          <w:color w:val="6691AB"/>
          <w:sz w:val="27"/>
          <w:szCs w:val="27"/>
        </w:rPr>
      </w:pPr>
    </w:p>
    <w:p w14:paraId="537EC6AB" w14:textId="23DC8471" w:rsidR="00BC7F73" w:rsidRPr="00F06BC8" w:rsidRDefault="00F06BC8" w:rsidP="00526794">
      <w:pPr>
        <w:spacing w:after="0" w:line="240" w:lineRule="exact"/>
        <w:ind w:left="-1080" w:right="206"/>
        <w:jc w:val="right"/>
        <w:rPr>
          <w:i/>
          <w:iCs/>
          <w:sz w:val="18"/>
          <w:szCs w:val="18"/>
        </w:rPr>
      </w:pPr>
      <w:r w:rsidRPr="00B33004">
        <w:rPr>
          <w:rFonts w:eastAsia="Times New Roman" w:cs="Calibri"/>
          <w:b/>
          <w:i/>
          <w:color w:val="6691AB"/>
          <w:sz w:val="27"/>
          <w:szCs w:val="27"/>
        </w:rPr>
        <w:t>Κύρια Σημεία Αποτελεσμάτων</w:t>
      </w:r>
      <w:r w:rsidR="00B339B5" w:rsidRPr="00B339B5">
        <w:rPr>
          <w:rFonts w:eastAsia="Times New Roman" w:cs="Calibri"/>
          <w:b/>
          <w:i/>
          <w:color w:val="6691AB"/>
          <w:sz w:val="27"/>
          <w:szCs w:val="27"/>
        </w:rPr>
        <w:t xml:space="preserve"> 2020</w:t>
      </w:r>
      <w:r w:rsidRPr="00B33004">
        <w:rPr>
          <w:rFonts w:eastAsia="Times New Roman" w:cs="Calibri"/>
          <w:b/>
          <w:i/>
          <w:color w:val="6691AB"/>
          <w:sz w:val="27"/>
          <w:szCs w:val="27"/>
        </w:rPr>
        <w:t xml:space="preserve">: </w:t>
      </w:r>
      <w:r>
        <w:rPr>
          <w:rFonts w:eastAsia="Times New Roman" w:cs="Calibri"/>
          <w:b/>
          <w:i/>
          <w:color w:val="6691AB"/>
          <w:sz w:val="27"/>
          <w:szCs w:val="27"/>
        </w:rPr>
        <w:t xml:space="preserve">Θετικές </w:t>
      </w:r>
      <w:r w:rsidR="00112C71">
        <w:rPr>
          <w:rFonts w:eastAsia="Times New Roman" w:cs="Calibri"/>
          <w:b/>
          <w:i/>
          <w:color w:val="6691AB"/>
          <w:sz w:val="27"/>
          <w:szCs w:val="27"/>
        </w:rPr>
        <w:t>Τ</w:t>
      </w:r>
      <w:r w:rsidRPr="00B33004">
        <w:rPr>
          <w:rFonts w:eastAsia="Times New Roman" w:cs="Calibri"/>
          <w:b/>
          <w:i/>
          <w:color w:val="6691AB"/>
          <w:sz w:val="27"/>
          <w:szCs w:val="27"/>
        </w:rPr>
        <w:t xml:space="preserve">άσεις σε </w:t>
      </w:r>
      <w:r w:rsidR="00112C71">
        <w:rPr>
          <w:rFonts w:eastAsia="Times New Roman" w:cs="Calibri"/>
          <w:b/>
          <w:i/>
          <w:color w:val="6691AB"/>
          <w:sz w:val="27"/>
          <w:szCs w:val="27"/>
        </w:rPr>
        <w:t>Ό</w:t>
      </w:r>
      <w:r w:rsidRPr="00B33004">
        <w:rPr>
          <w:rFonts w:eastAsia="Times New Roman" w:cs="Calibri"/>
          <w:b/>
          <w:i/>
          <w:color w:val="6691AB"/>
          <w:sz w:val="27"/>
          <w:szCs w:val="27"/>
        </w:rPr>
        <w:t xml:space="preserve">λα τα </w:t>
      </w:r>
      <w:r w:rsidR="00526794">
        <w:rPr>
          <w:rFonts w:eastAsia="Times New Roman" w:cs="Calibri"/>
          <w:b/>
          <w:i/>
          <w:color w:val="6691AB"/>
          <w:sz w:val="27"/>
          <w:szCs w:val="27"/>
        </w:rPr>
        <w:t>Επίπεδα</w:t>
      </w:r>
    </w:p>
    <w:tbl>
      <w:tblPr>
        <w:tblStyle w:val="TableGrid1"/>
        <w:tblpPr w:leftFromText="180" w:rightFromText="180" w:vertAnchor="text" w:horzAnchor="margin" w:tblpXSpec="right" w:tblpY="42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371"/>
      </w:tblGrid>
      <w:tr w:rsidR="00F06BC8" w:rsidRPr="00B33004" w14:paraId="1268B992" w14:textId="77777777" w:rsidTr="00526794">
        <w:trPr>
          <w:trHeight w:val="2210"/>
        </w:trPr>
        <w:tc>
          <w:tcPr>
            <w:tcW w:w="1985" w:type="dxa"/>
            <w:tcMar>
              <w:top w:w="57" w:type="dxa"/>
              <w:bottom w:w="57" w:type="dxa"/>
            </w:tcMar>
          </w:tcPr>
          <w:p w14:paraId="41986796" w14:textId="77777777" w:rsidR="00F06BC8" w:rsidRPr="00B33004" w:rsidRDefault="00B339B5" w:rsidP="00B96762">
            <w:pPr>
              <w:tabs>
                <w:tab w:val="left" w:pos="8262"/>
              </w:tabs>
              <w:spacing w:after="60"/>
              <w:ind w:left="32" w:right="74"/>
              <w:contextualSpacing/>
              <w:rPr>
                <w:rFonts w:cs="Calibri"/>
                <w:b/>
                <w:i/>
                <w:color w:val="FF0000"/>
              </w:rPr>
            </w:pPr>
            <w:r>
              <w:rPr>
                <w:rFonts w:eastAsiaTheme="minorEastAsia" w:cs="Calibri"/>
                <w:i/>
                <w:color w:val="6691AB"/>
              </w:rPr>
              <w:t>Θετική πορεία</w:t>
            </w:r>
            <w:r w:rsidR="00B96762">
              <w:rPr>
                <w:rFonts w:eastAsiaTheme="minorEastAsia" w:cs="Calibri"/>
                <w:i/>
                <w:color w:val="6691AB"/>
              </w:rPr>
              <w:t xml:space="preserve"> καθαρών εσόδων από τόκους</w:t>
            </w:r>
          </w:p>
        </w:tc>
        <w:tc>
          <w:tcPr>
            <w:tcW w:w="7371" w:type="dxa"/>
            <w:tcMar>
              <w:top w:w="57" w:type="dxa"/>
              <w:bottom w:w="57" w:type="dxa"/>
            </w:tcMar>
          </w:tcPr>
          <w:p w14:paraId="0ECABAB0" w14:textId="048C7BF1" w:rsidR="00F06BC8" w:rsidRPr="00B33004" w:rsidRDefault="00F06BC8" w:rsidP="00526794">
            <w:pPr>
              <w:tabs>
                <w:tab w:val="left" w:pos="7080"/>
              </w:tabs>
              <w:spacing w:after="80" w:line="240" w:lineRule="exact"/>
              <w:ind w:left="38" w:right="74"/>
              <w:jc w:val="both"/>
              <w:rPr>
                <w:sz w:val="18"/>
                <w:szCs w:val="18"/>
              </w:rPr>
            </w:pPr>
            <w:r>
              <w:rPr>
                <w:sz w:val="18"/>
                <w:szCs w:val="18"/>
              </w:rPr>
              <w:t>Τα καθαρά έσοδα από τόκους</w:t>
            </w:r>
            <w:r w:rsidRPr="004D43B4">
              <w:rPr>
                <w:sz w:val="18"/>
                <w:szCs w:val="18"/>
              </w:rPr>
              <w:t xml:space="preserve"> το οικονομικό έτος 2020 ανήλθαν σε </w:t>
            </w:r>
            <w:r w:rsidR="00B339B5">
              <w:rPr>
                <w:sz w:val="18"/>
                <w:szCs w:val="18"/>
              </w:rPr>
              <w:t>€</w:t>
            </w:r>
            <w:r w:rsidRPr="004D43B4">
              <w:rPr>
                <w:sz w:val="18"/>
                <w:szCs w:val="18"/>
              </w:rPr>
              <w:t xml:space="preserve">1.486 εκατ., + 4% σε ετήσια βάση. Το κόστος χρηματοδότησης (δηλ. </w:t>
            </w:r>
            <w:r w:rsidR="004C1EF3">
              <w:rPr>
                <w:sz w:val="18"/>
                <w:szCs w:val="18"/>
              </w:rPr>
              <w:t>έ</w:t>
            </w:r>
            <w:r w:rsidRPr="004D43B4">
              <w:rPr>
                <w:sz w:val="18"/>
                <w:szCs w:val="18"/>
              </w:rPr>
              <w:t>ξοδα τόκων) ήταν ιδιαίτερα υποστηρικτικό -19% σε ετήσια βάση, λόγω της σημαντι</w:t>
            </w:r>
            <w:r>
              <w:rPr>
                <w:sz w:val="18"/>
                <w:szCs w:val="18"/>
              </w:rPr>
              <w:t>κής συγκράτησης του κόστους καταθέσεων</w:t>
            </w:r>
            <w:r w:rsidRPr="004D43B4">
              <w:rPr>
                <w:sz w:val="18"/>
                <w:szCs w:val="18"/>
              </w:rPr>
              <w:t xml:space="preserve"> και της χρήσης </w:t>
            </w:r>
            <w:r>
              <w:rPr>
                <w:sz w:val="18"/>
                <w:szCs w:val="18"/>
              </w:rPr>
              <w:t xml:space="preserve">ρευστότητας από τις δημοπρασίες </w:t>
            </w:r>
            <w:r w:rsidRPr="004D43B4">
              <w:rPr>
                <w:sz w:val="18"/>
                <w:szCs w:val="18"/>
              </w:rPr>
              <w:t>TLTRO III</w:t>
            </w:r>
            <w:r>
              <w:rPr>
                <w:sz w:val="18"/>
                <w:szCs w:val="18"/>
              </w:rPr>
              <w:t xml:space="preserve"> της </w:t>
            </w:r>
            <w:r>
              <w:rPr>
                <w:sz w:val="18"/>
                <w:szCs w:val="18"/>
                <w:lang w:val="en-US"/>
              </w:rPr>
              <w:t>EKT</w:t>
            </w:r>
            <w:r w:rsidRPr="004D43B4">
              <w:rPr>
                <w:sz w:val="18"/>
                <w:szCs w:val="18"/>
              </w:rPr>
              <w:t xml:space="preserve">, </w:t>
            </w:r>
            <w:r>
              <w:rPr>
                <w:sz w:val="18"/>
                <w:szCs w:val="18"/>
              </w:rPr>
              <w:t>τα οποία απορρόφησαν</w:t>
            </w:r>
            <w:r w:rsidRPr="004D43B4">
              <w:rPr>
                <w:sz w:val="18"/>
                <w:szCs w:val="18"/>
              </w:rPr>
              <w:t xml:space="preserve"> το αυξημένο κόστος </w:t>
            </w:r>
            <w:r w:rsidR="00B339B5">
              <w:rPr>
                <w:sz w:val="18"/>
                <w:szCs w:val="18"/>
              </w:rPr>
              <w:t xml:space="preserve">που σχετίζεται με τους τόκους </w:t>
            </w:r>
            <w:r>
              <w:rPr>
                <w:sz w:val="18"/>
                <w:szCs w:val="18"/>
              </w:rPr>
              <w:t>τ</w:t>
            </w:r>
            <w:r w:rsidR="004C1EF3">
              <w:rPr>
                <w:sz w:val="18"/>
                <w:szCs w:val="18"/>
              </w:rPr>
              <w:t>ων</w:t>
            </w:r>
            <w:r>
              <w:rPr>
                <w:sz w:val="18"/>
                <w:szCs w:val="18"/>
              </w:rPr>
              <w:t xml:space="preserve"> ομολ</w:t>
            </w:r>
            <w:r w:rsidR="004C1EF3">
              <w:rPr>
                <w:sz w:val="18"/>
                <w:szCs w:val="18"/>
              </w:rPr>
              <w:t>όγων</w:t>
            </w:r>
            <w:r>
              <w:rPr>
                <w:sz w:val="18"/>
                <w:szCs w:val="18"/>
              </w:rPr>
              <w:t xml:space="preserve"> </w:t>
            </w:r>
            <w:r>
              <w:rPr>
                <w:sz w:val="18"/>
                <w:szCs w:val="18"/>
                <w:lang w:val="en-US"/>
              </w:rPr>
              <w:t>Tier</w:t>
            </w:r>
            <w:r w:rsidRPr="004D43B4">
              <w:rPr>
                <w:sz w:val="18"/>
                <w:szCs w:val="18"/>
              </w:rPr>
              <w:t xml:space="preserve"> 2, ενώ τα </w:t>
            </w:r>
            <w:r w:rsidR="00B339B5">
              <w:rPr>
                <w:sz w:val="18"/>
                <w:szCs w:val="18"/>
              </w:rPr>
              <w:t>€</w:t>
            </w:r>
            <w:r w:rsidR="004C1EF3">
              <w:rPr>
                <w:sz w:val="18"/>
                <w:szCs w:val="18"/>
              </w:rPr>
              <w:t>3,9</w:t>
            </w:r>
            <w:r w:rsidRPr="004D43B4">
              <w:rPr>
                <w:sz w:val="18"/>
                <w:szCs w:val="18"/>
              </w:rPr>
              <w:t xml:space="preserve"> </w:t>
            </w:r>
            <w:r w:rsidR="009979CE">
              <w:rPr>
                <w:sz w:val="18"/>
                <w:szCs w:val="18"/>
              </w:rPr>
              <w:t>δισ.</w:t>
            </w:r>
            <w:r w:rsidRPr="004D43B4">
              <w:rPr>
                <w:sz w:val="18"/>
                <w:szCs w:val="18"/>
              </w:rPr>
              <w:t xml:space="preserve"> και </w:t>
            </w:r>
            <w:r w:rsidR="00B339B5">
              <w:rPr>
                <w:sz w:val="18"/>
                <w:szCs w:val="18"/>
              </w:rPr>
              <w:t>€</w:t>
            </w:r>
            <w:r w:rsidRPr="004D43B4">
              <w:rPr>
                <w:sz w:val="18"/>
                <w:szCs w:val="18"/>
              </w:rPr>
              <w:t xml:space="preserve">6,3 </w:t>
            </w:r>
            <w:r w:rsidR="009979CE">
              <w:rPr>
                <w:sz w:val="18"/>
                <w:szCs w:val="18"/>
              </w:rPr>
              <w:t>δισ.</w:t>
            </w:r>
            <w:r w:rsidRPr="004D43B4">
              <w:rPr>
                <w:sz w:val="18"/>
                <w:szCs w:val="18"/>
              </w:rPr>
              <w:t xml:space="preserve"> από νέα δάνεια που εκταμιεύθηκαν το 2019 και το 202</w:t>
            </w:r>
            <w:r>
              <w:rPr>
                <w:sz w:val="18"/>
                <w:szCs w:val="18"/>
              </w:rPr>
              <w:t>0 αντίστοιχα και οι αυξημένες τοποθετήσεις σε χρε</w:t>
            </w:r>
            <w:r w:rsidR="00B339B5">
              <w:rPr>
                <w:sz w:val="18"/>
                <w:szCs w:val="18"/>
              </w:rPr>
              <w:t>ό</w:t>
            </w:r>
            <w:r>
              <w:rPr>
                <w:sz w:val="18"/>
                <w:szCs w:val="18"/>
              </w:rPr>
              <w:t>γ</w:t>
            </w:r>
            <w:r w:rsidR="00B339B5">
              <w:rPr>
                <w:sz w:val="18"/>
                <w:szCs w:val="18"/>
              </w:rPr>
              <w:t>ρ</w:t>
            </w:r>
            <w:r>
              <w:rPr>
                <w:sz w:val="18"/>
                <w:szCs w:val="18"/>
              </w:rPr>
              <w:t xml:space="preserve">αφα </w:t>
            </w:r>
            <w:r w:rsidRPr="004D43B4">
              <w:rPr>
                <w:sz w:val="18"/>
                <w:szCs w:val="18"/>
              </w:rPr>
              <w:t xml:space="preserve">σταθερού εισοδήματος, συνέβαλαν στην </w:t>
            </w:r>
            <w:r w:rsidR="00B339B5">
              <w:rPr>
                <w:sz w:val="18"/>
                <w:szCs w:val="18"/>
              </w:rPr>
              <w:t xml:space="preserve">αύξηση </w:t>
            </w:r>
            <w:r>
              <w:rPr>
                <w:sz w:val="18"/>
                <w:szCs w:val="18"/>
              </w:rPr>
              <w:t xml:space="preserve">των καθαρών </w:t>
            </w:r>
            <w:proofErr w:type="spellStart"/>
            <w:r>
              <w:rPr>
                <w:sz w:val="18"/>
                <w:szCs w:val="18"/>
              </w:rPr>
              <w:t>επιτοκιακών</w:t>
            </w:r>
            <w:proofErr w:type="spellEnd"/>
            <w:r>
              <w:rPr>
                <w:sz w:val="18"/>
                <w:szCs w:val="18"/>
              </w:rPr>
              <w:t xml:space="preserve"> εσόδων. Το Καθαρό </w:t>
            </w:r>
            <w:proofErr w:type="spellStart"/>
            <w:r>
              <w:rPr>
                <w:sz w:val="18"/>
                <w:szCs w:val="18"/>
              </w:rPr>
              <w:t>Επιτοκιακό</w:t>
            </w:r>
            <w:proofErr w:type="spellEnd"/>
            <w:r>
              <w:rPr>
                <w:sz w:val="18"/>
                <w:szCs w:val="18"/>
              </w:rPr>
              <w:t xml:space="preserve"> Περιθώριο</w:t>
            </w:r>
            <w:r w:rsidRPr="004D43B4">
              <w:rPr>
                <w:sz w:val="18"/>
                <w:szCs w:val="18"/>
              </w:rPr>
              <w:t xml:space="preserve"> </w:t>
            </w:r>
            <w:r>
              <w:rPr>
                <w:sz w:val="18"/>
                <w:szCs w:val="18"/>
              </w:rPr>
              <w:t xml:space="preserve">το </w:t>
            </w:r>
            <w:r w:rsidRPr="004D43B4">
              <w:rPr>
                <w:sz w:val="18"/>
                <w:szCs w:val="18"/>
              </w:rPr>
              <w:t xml:space="preserve">2020 </w:t>
            </w:r>
            <w:r w:rsidR="00B339B5">
              <w:rPr>
                <w:sz w:val="18"/>
                <w:szCs w:val="18"/>
              </w:rPr>
              <w:t>διαμορφώθηκε</w:t>
            </w:r>
            <w:r w:rsidRPr="004D43B4">
              <w:rPr>
                <w:sz w:val="18"/>
                <w:szCs w:val="18"/>
              </w:rPr>
              <w:t xml:space="preserve"> στο 2</w:t>
            </w:r>
            <w:r>
              <w:rPr>
                <w:sz w:val="18"/>
                <w:szCs w:val="18"/>
              </w:rPr>
              <w:t xml:space="preserve">,2% σε σύγκριση με το 2,3% το </w:t>
            </w:r>
            <w:r w:rsidRPr="004D43B4">
              <w:rPr>
                <w:sz w:val="18"/>
                <w:szCs w:val="18"/>
              </w:rPr>
              <w:t>2019</w:t>
            </w:r>
            <w:r w:rsidR="006C7D1F">
              <w:rPr>
                <w:sz w:val="18"/>
                <w:szCs w:val="18"/>
              </w:rPr>
              <w:t xml:space="preserve">,  παρά τη </w:t>
            </w:r>
            <w:r w:rsidR="00337141">
              <w:rPr>
                <w:sz w:val="18"/>
                <w:szCs w:val="18"/>
              </w:rPr>
              <w:t>σημαντική</w:t>
            </w:r>
            <w:r w:rsidR="006C7D1F">
              <w:rPr>
                <w:sz w:val="18"/>
                <w:szCs w:val="18"/>
              </w:rPr>
              <w:t xml:space="preserve"> αύξηση του ενεργητικού του Ομίλου</w:t>
            </w:r>
            <w:r w:rsidRPr="004D43B4">
              <w:rPr>
                <w:sz w:val="18"/>
                <w:szCs w:val="18"/>
              </w:rPr>
              <w:t>.</w:t>
            </w:r>
          </w:p>
        </w:tc>
      </w:tr>
      <w:tr w:rsidR="00F06BC8" w:rsidRPr="001717F2" w14:paraId="39018D37" w14:textId="77777777" w:rsidTr="00526794">
        <w:trPr>
          <w:trHeight w:val="1700"/>
        </w:trPr>
        <w:tc>
          <w:tcPr>
            <w:tcW w:w="1985" w:type="dxa"/>
            <w:tcMar>
              <w:top w:w="57" w:type="dxa"/>
              <w:bottom w:w="57" w:type="dxa"/>
            </w:tcMar>
          </w:tcPr>
          <w:p w14:paraId="56A3E264" w14:textId="77777777" w:rsidR="00F06BC8" w:rsidRPr="00B96762" w:rsidRDefault="00B96762" w:rsidP="00B96762">
            <w:pPr>
              <w:tabs>
                <w:tab w:val="left" w:pos="8262"/>
              </w:tabs>
              <w:spacing w:after="60"/>
              <w:ind w:left="32" w:right="-250"/>
              <w:contextualSpacing/>
              <w:rPr>
                <w:rFonts w:cs="Calibri"/>
                <w:b/>
                <w:color w:val="FF0000"/>
                <w:spacing w:val="-12"/>
              </w:rPr>
            </w:pPr>
            <w:r>
              <w:rPr>
                <w:rFonts w:eastAsiaTheme="minorEastAsia" w:cs="Calibri"/>
                <w:i/>
                <w:color w:val="6691AB"/>
                <w:spacing w:val="-12"/>
              </w:rPr>
              <w:t>Κ</w:t>
            </w:r>
            <w:r w:rsidR="00F06BC8">
              <w:rPr>
                <w:rFonts w:eastAsiaTheme="minorEastAsia" w:cs="Calibri"/>
                <w:i/>
                <w:color w:val="6691AB"/>
                <w:spacing w:val="-12"/>
              </w:rPr>
              <w:t xml:space="preserve">αθαρά έσοδα </w:t>
            </w:r>
            <w:r>
              <w:rPr>
                <w:rFonts w:eastAsiaTheme="minorEastAsia" w:cs="Calibri"/>
                <w:i/>
                <w:color w:val="6691AB"/>
                <w:spacing w:val="-12"/>
              </w:rPr>
              <w:t xml:space="preserve">από προμήθειες σταθερά παρά το </w:t>
            </w:r>
            <w:r>
              <w:rPr>
                <w:rFonts w:eastAsiaTheme="minorEastAsia" w:cs="Calibri"/>
                <w:i/>
                <w:color w:val="6691AB"/>
                <w:spacing w:val="-12"/>
                <w:lang w:val="en-US"/>
              </w:rPr>
              <w:t>lockdown</w:t>
            </w:r>
          </w:p>
        </w:tc>
        <w:tc>
          <w:tcPr>
            <w:tcW w:w="7371" w:type="dxa"/>
            <w:tcMar>
              <w:top w:w="57" w:type="dxa"/>
              <w:bottom w:w="57" w:type="dxa"/>
            </w:tcMar>
          </w:tcPr>
          <w:p w14:paraId="6830F3B0" w14:textId="7EF30973" w:rsidR="00F06BC8" w:rsidRPr="001717F2" w:rsidRDefault="00F06BC8" w:rsidP="00306C0E">
            <w:pPr>
              <w:tabs>
                <w:tab w:val="left" w:pos="7080"/>
              </w:tabs>
              <w:spacing w:after="80" w:line="240" w:lineRule="exact"/>
              <w:ind w:left="38" w:right="74"/>
              <w:jc w:val="both"/>
              <w:rPr>
                <w:sz w:val="18"/>
                <w:szCs w:val="18"/>
              </w:rPr>
            </w:pPr>
            <w:r w:rsidRPr="00E57406">
              <w:rPr>
                <w:sz w:val="18"/>
                <w:szCs w:val="18"/>
              </w:rPr>
              <w:t>Τα καθαρά έσο</w:t>
            </w:r>
            <w:r>
              <w:rPr>
                <w:sz w:val="18"/>
                <w:szCs w:val="18"/>
              </w:rPr>
              <w:t>δα από προμήθειες</w:t>
            </w:r>
            <w:r w:rsidRPr="00E57406">
              <w:rPr>
                <w:sz w:val="18"/>
                <w:szCs w:val="18"/>
              </w:rPr>
              <w:t xml:space="preserve"> κατά το οικονομικό έτος</w:t>
            </w:r>
            <w:r>
              <w:rPr>
                <w:sz w:val="18"/>
                <w:szCs w:val="18"/>
              </w:rPr>
              <w:t xml:space="preserve"> </w:t>
            </w:r>
            <w:r w:rsidRPr="00E57406">
              <w:rPr>
                <w:sz w:val="18"/>
                <w:szCs w:val="18"/>
              </w:rPr>
              <w:t xml:space="preserve">2020 ανήλθαν σε </w:t>
            </w:r>
            <w:r w:rsidR="00306C0E">
              <w:rPr>
                <w:sz w:val="18"/>
                <w:szCs w:val="18"/>
              </w:rPr>
              <w:t>€</w:t>
            </w:r>
            <w:r w:rsidRPr="00E57406">
              <w:rPr>
                <w:sz w:val="18"/>
                <w:szCs w:val="18"/>
              </w:rPr>
              <w:t xml:space="preserve">317 εκατ., σταθερά σε ετήσια βάση, μια </w:t>
            </w:r>
            <w:r>
              <w:rPr>
                <w:sz w:val="18"/>
                <w:szCs w:val="18"/>
              </w:rPr>
              <w:t xml:space="preserve">ανθεκτική απόδοση, δεδομένου των </w:t>
            </w:r>
            <w:r w:rsidR="00337141">
              <w:rPr>
                <w:sz w:val="18"/>
                <w:szCs w:val="18"/>
              </w:rPr>
              <w:t>περιορισμών</w:t>
            </w:r>
            <w:r>
              <w:rPr>
                <w:sz w:val="18"/>
                <w:szCs w:val="18"/>
              </w:rPr>
              <w:t xml:space="preserve"> στην </w:t>
            </w:r>
            <w:r w:rsidR="00337141">
              <w:rPr>
                <w:sz w:val="18"/>
                <w:szCs w:val="18"/>
              </w:rPr>
              <w:t>οικονομική</w:t>
            </w:r>
            <w:r>
              <w:rPr>
                <w:sz w:val="18"/>
                <w:szCs w:val="18"/>
              </w:rPr>
              <w:t xml:space="preserve"> δραστηριότητα εξαιτίας της πανδημίας </w:t>
            </w:r>
            <w:proofErr w:type="spellStart"/>
            <w:r>
              <w:rPr>
                <w:sz w:val="18"/>
                <w:szCs w:val="18"/>
                <w:lang w:val="en-US"/>
              </w:rPr>
              <w:t>Covid</w:t>
            </w:r>
            <w:proofErr w:type="spellEnd"/>
            <w:r w:rsidRPr="00D67434">
              <w:rPr>
                <w:sz w:val="18"/>
                <w:szCs w:val="18"/>
              </w:rPr>
              <w:t>-19</w:t>
            </w:r>
            <w:r w:rsidRPr="00E57406">
              <w:rPr>
                <w:sz w:val="18"/>
                <w:szCs w:val="18"/>
              </w:rPr>
              <w:t xml:space="preserve"> κατά το μεγαλύτερο μέρος του έτους. Κύριοι συντελεστές στην ανθεκτικότητα </w:t>
            </w:r>
            <w:r w:rsidR="006C7D1F">
              <w:rPr>
                <w:sz w:val="18"/>
                <w:szCs w:val="18"/>
              </w:rPr>
              <w:t xml:space="preserve">αυτή </w:t>
            </w:r>
            <w:r>
              <w:rPr>
                <w:sz w:val="18"/>
                <w:szCs w:val="18"/>
              </w:rPr>
              <w:t xml:space="preserve">ήταν η </w:t>
            </w:r>
            <w:r w:rsidR="006C7D1F">
              <w:rPr>
                <w:sz w:val="18"/>
                <w:szCs w:val="18"/>
              </w:rPr>
              <w:t xml:space="preserve">παραγωγή </w:t>
            </w:r>
            <w:r>
              <w:rPr>
                <w:sz w:val="18"/>
                <w:szCs w:val="18"/>
              </w:rPr>
              <w:t xml:space="preserve">νέων δανείων, τα έσοδα από ασφαλιστικά και επενδυτικά </w:t>
            </w:r>
            <w:r w:rsidR="00337141">
              <w:rPr>
                <w:sz w:val="18"/>
                <w:szCs w:val="18"/>
              </w:rPr>
              <w:t>προϊόντα</w:t>
            </w:r>
            <w:r w:rsidR="006C7D1F">
              <w:rPr>
                <w:sz w:val="18"/>
                <w:szCs w:val="18"/>
              </w:rPr>
              <w:t>,</w:t>
            </w:r>
            <w:r>
              <w:rPr>
                <w:sz w:val="18"/>
                <w:szCs w:val="18"/>
              </w:rPr>
              <w:t xml:space="preserve"> καθώς και η επενδυτική και συμβουλευτική τραπεζική. Το περιθώριο των καθαρών </w:t>
            </w:r>
            <w:r w:rsidR="00306C0E">
              <w:rPr>
                <w:sz w:val="18"/>
                <w:szCs w:val="18"/>
              </w:rPr>
              <w:t>εσόδων</w:t>
            </w:r>
            <w:r w:rsidRPr="00E57406">
              <w:rPr>
                <w:sz w:val="18"/>
                <w:szCs w:val="18"/>
              </w:rPr>
              <w:t xml:space="preserve"> από προμήθειες </w:t>
            </w:r>
            <w:r>
              <w:rPr>
                <w:sz w:val="18"/>
                <w:szCs w:val="18"/>
              </w:rPr>
              <w:t>διαμορφώθηκε</w:t>
            </w:r>
            <w:r w:rsidRPr="00E57406">
              <w:rPr>
                <w:sz w:val="18"/>
                <w:szCs w:val="18"/>
              </w:rPr>
              <w:t xml:space="preserve"> στο επίπεδο του 0,5% σταθερό σε σύγκριση με το 2019</w:t>
            </w:r>
            <w:r>
              <w:rPr>
                <w:sz w:val="18"/>
                <w:szCs w:val="18"/>
              </w:rPr>
              <w:t>.</w:t>
            </w:r>
          </w:p>
        </w:tc>
      </w:tr>
      <w:tr w:rsidR="00F06BC8" w:rsidRPr="001717F2" w14:paraId="3B513926" w14:textId="77777777" w:rsidTr="00526794">
        <w:trPr>
          <w:trHeight w:val="2135"/>
        </w:trPr>
        <w:tc>
          <w:tcPr>
            <w:tcW w:w="1985" w:type="dxa"/>
            <w:tcMar>
              <w:top w:w="57" w:type="dxa"/>
              <w:bottom w:w="57" w:type="dxa"/>
            </w:tcMar>
          </w:tcPr>
          <w:p w14:paraId="0B934E80" w14:textId="77777777" w:rsidR="00F06BC8" w:rsidRPr="00F06BC8" w:rsidRDefault="00F06BC8" w:rsidP="004318AB">
            <w:pPr>
              <w:tabs>
                <w:tab w:val="left" w:pos="8262"/>
              </w:tabs>
              <w:spacing w:after="60"/>
              <w:ind w:left="32"/>
              <w:contextualSpacing/>
              <w:rPr>
                <w:rFonts w:cs="Calibri"/>
                <w:b/>
                <w:i/>
                <w:color w:val="FF0000"/>
              </w:rPr>
            </w:pPr>
            <w:r w:rsidRPr="001717F2">
              <w:rPr>
                <w:rFonts w:eastAsiaTheme="minorEastAsia" w:cs="Calibri"/>
                <w:i/>
                <w:color w:val="6691AB"/>
                <w:spacing w:val="-12"/>
              </w:rPr>
              <w:t>Μ</w:t>
            </w:r>
            <w:r>
              <w:rPr>
                <w:rFonts w:eastAsiaTheme="minorEastAsia" w:cs="Calibri"/>
                <w:i/>
                <w:color w:val="6691AB"/>
                <w:spacing w:val="-12"/>
              </w:rPr>
              <w:t>είωση λειτουργικών εξόδων κατά 7</w:t>
            </w:r>
            <w:r w:rsidRPr="001717F2">
              <w:rPr>
                <w:rFonts w:eastAsiaTheme="minorEastAsia" w:cs="Calibri"/>
                <w:i/>
                <w:color w:val="6691AB"/>
                <w:spacing w:val="-12"/>
              </w:rPr>
              <w:t>% ετησίως</w:t>
            </w:r>
            <w:r>
              <w:rPr>
                <w:rFonts w:eastAsiaTheme="minorEastAsia" w:cs="Calibri"/>
                <w:i/>
                <w:color w:val="6691AB"/>
                <w:spacing w:val="-12"/>
              </w:rPr>
              <w:t xml:space="preserve"> σε συγκρίσιμη βάση</w:t>
            </w:r>
          </w:p>
        </w:tc>
        <w:tc>
          <w:tcPr>
            <w:tcW w:w="7371" w:type="dxa"/>
            <w:tcMar>
              <w:top w:w="57" w:type="dxa"/>
              <w:bottom w:w="57" w:type="dxa"/>
            </w:tcMar>
          </w:tcPr>
          <w:p w14:paraId="2D373DF9" w14:textId="23C0884B" w:rsidR="00F06BC8" w:rsidRPr="001717F2" w:rsidRDefault="00F06BC8" w:rsidP="00182520">
            <w:pPr>
              <w:tabs>
                <w:tab w:val="left" w:pos="7080"/>
              </w:tabs>
              <w:spacing w:after="80" w:line="240" w:lineRule="exact"/>
              <w:ind w:left="38" w:right="74"/>
              <w:jc w:val="both"/>
              <w:rPr>
                <w:sz w:val="18"/>
                <w:szCs w:val="18"/>
              </w:rPr>
            </w:pPr>
            <w:r w:rsidRPr="004326B4">
              <w:rPr>
                <w:sz w:val="18"/>
                <w:szCs w:val="18"/>
              </w:rPr>
              <w:t>Τα λειτουργι</w:t>
            </w:r>
            <w:r>
              <w:rPr>
                <w:sz w:val="18"/>
                <w:szCs w:val="18"/>
              </w:rPr>
              <w:t>κά έξοδα κατά το 2020</w:t>
            </w:r>
            <w:r w:rsidRPr="004326B4">
              <w:rPr>
                <w:sz w:val="18"/>
                <w:szCs w:val="18"/>
              </w:rPr>
              <w:t xml:space="preserve"> έφτασαν τα</w:t>
            </w:r>
            <w:r w:rsidR="00B96762">
              <w:rPr>
                <w:sz w:val="18"/>
                <w:szCs w:val="18"/>
              </w:rPr>
              <w:t xml:space="preserve">  €891</w:t>
            </w:r>
            <w:r w:rsidRPr="004326B4">
              <w:rPr>
                <w:sz w:val="18"/>
                <w:szCs w:val="18"/>
              </w:rPr>
              <w:t xml:space="preserve"> εκατ.</w:t>
            </w:r>
            <w:r>
              <w:rPr>
                <w:sz w:val="18"/>
                <w:szCs w:val="18"/>
              </w:rPr>
              <w:t xml:space="preserve">, </w:t>
            </w:r>
            <w:r w:rsidRPr="004326B4">
              <w:rPr>
                <w:sz w:val="18"/>
                <w:szCs w:val="18"/>
              </w:rPr>
              <w:t xml:space="preserve">-7% σε ετήσια </w:t>
            </w:r>
            <w:r>
              <w:rPr>
                <w:sz w:val="18"/>
                <w:szCs w:val="18"/>
              </w:rPr>
              <w:t xml:space="preserve">συγκρίσιμη </w:t>
            </w:r>
            <w:r w:rsidRPr="004326B4">
              <w:rPr>
                <w:sz w:val="18"/>
                <w:szCs w:val="18"/>
              </w:rPr>
              <w:t>βάση</w:t>
            </w:r>
            <w:r>
              <w:rPr>
                <w:sz w:val="18"/>
                <w:szCs w:val="18"/>
              </w:rPr>
              <w:t xml:space="preserve">. Συμπεριλαμβανομένων έκτακτων εξόδων και της αμοιβής του </w:t>
            </w:r>
            <w:r w:rsidR="00182520">
              <w:rPr>
                <w:sz w:val="18"/>
                <w:szCs w:val="18"/>
                <w:lang w:val="en-US"/>
              </w:rPr>
              <w:t>NPE</w:t>
            </w:r>
            <w:r w:rsidRPr="001C02CA">
              <w:rPr>
                <w:sz w:val="18"/>
                <w:szCs w:val="18"/>
              </w:rPr>
              <w:t xml:space="preserve"> </w:t>
            </w:r>
            <w:r>
              <w:rPr>
                <w:sz w:val="18"/>
                <w:szCs w:val="18"/>
                <w:lang w:val="en-US"/>
              </w:rPr>
              <w:t>servicer</w:t>
            </w:r>
            <w:r w:rsidRPr="001C02CA">
              <w:rPr>
                <w:sz w:val="18"/>
                <w:szCs w:val="18"/>
              </w:rPr>
              <w:t xml:space="preserve">, </w:t>
            </w:r>
            <w:r w:rsidRPr="004326B4">
              <w:rPr>
                <w:sz w:val="18"/>
                <w:szCs w:val="18"/>
              </w:rPr>
              <w:t xml:space="preserve">τα συνολικά λειτουργικά έξοδα αυξήθηκαν κατά 7% στα </w:t>
            </w:r>
            <w:r w:rsidR="00B63388">
              <w:rPr>
                <w:sz w:val="18"/>
                <w:szCs w:val="18"/>
              </w:rPr>
              <w:t>€</w:t>
            </w:r>
            <w:r w:rsidRPr="004326B4">
              <w:rPr>
                <w:sz w:val="18"/>
                <w:szCs w:val="18"/>
              </w:rPr>
              <w:t>1.084 εκατ</w:t>
            </w:r>
            <w:r>
              <w:rPr>
                <w:sz w:val="18"/>
                <w:szCs w:val="18"/>
              </w:rPr>
              <w:t>. Ο λόγος κόστους προς έσοδα σε συγκρίσιμη βάση διαμορφώθηκε στο</w:t>
            </w:r>
            <w:r w:rsidRPr="004326B4">
              <w:rPr>
                <w:sz w:val="18"/>
                <w:szCs w:val="18"/>
              </w:rPr>
              <w:t xml:space="preserve"> 47% έναν</w:t>
            </w:r>
            <w:r>
              <w:rPr>
                <w:sz w:val="18"/>
                <w:szCs w:val="18"/>
              </w:rPr>
              <w:t xml:space="preserve">τι 53% το 2019. Το </w:t>
            </w:r>
            <w:r w:rsidRPr="004326B4">
              <w:rPr>
                <w:sz w:val="18"/>
                <w:szCs w:val="18"/>
              </w:rPr>
              <w:t>κόστος προσωπικού</w:t>
            </w:r>
            <w:r>
              <w:rPr>
                <w:sz w:val="18"/>
                <w:szCs w:val="18"/>
              </w:rPr>
              <w:t xml:space="preserve"> σε συγκρίσιμη βάση</w:t>
            </w:r>
            <w:r w:rsidRPr="004326B4">
              <w:rPr>
                <w:sz w:val="18"/>
                <w:szCs w:val="18"/>
              </w:rPr>
              <w:t xml:space="preserve"> μειώθηκε κατά 10% σε ετήσια βάση, καθώς η Τράπεζα αποκομίζει τα οφέλη από τη</w:t>
            </w:r>
            <w:r>
              <w:rPr>
                <w:sz w:val="18"/>
                <w:szCs w:val="18"/>
              </w:rPr>
              <w:t xml:space="preserve">ν απόσχιση της </w:t>
            </w:r>
            <w:r w:rsidRPr="004326B4">
              <w:rPr>
                <w:sz w:val="18"/>
                <w:szCs w:val="18"/>
              </w:rPr>
              <w:t>πλ</w:t>
            </w:r>
            <w:r>
              <w:rPr>
                <w:sz w:val="18"/>
                <w:szCs w:val="18"/>
              </w:rPr>
              <w:t xml:space="preserve">ατφόρμας </w:t>
            </w:r>
            <w:r w:rsidR="00182520">
              <w:rPr>
                <w:sz w:val="18"/>
                <w:szCs w:val="18"/>
              </w:rPr>
              <w:t xml:space="preserve">διαχείρισης </w:t>
            </w:r>
            <w:r w:rsidR="00B63388">
              <w:rPr>
                <w:sz w:val="18"/>
                <w:szCs w:val="18"/>
                <w:lang w:val="en-US"/>
              </w:rPr>
              <w:t>NPE</w:t>
            </w:r>
            <w:r w:rsidR="00182520">
              <w:rPr>
                <w:sz w:val="18"/>
                <w:szCs w:val="18"/>
                <w:lang w:val="en-US"/>
              </w:rPr>
              <w:t>s</w:t>
            </w:r>
            <w:r w:rsidR="00B63388" w:rsidRPr="00B63388">
              <w:rPr>
                <w:sz w:val="18"/>
                <w:szCs w:val="18"/>
              </w:rPr>
              <w:t xml:space="preserve"> </w:t>
            </w:r>
            <w:r>
              <w:rPr>
                <w:sz w:val="18"/>
                <w:szCs w:val="18"/>
              </w:rPr>
              <w:t xml:space="preserve">και </w:t>
            </w:r>
            <w:r w:rsidR="00B63388">
              <w:rPr>
                <w:sz w:val="18"/>
                <w:szCs w:val="18"/>
              </w:rPr>
              <w:t>το πρόγραμμα αποχώρησης</w:t>
            </w:r>
            <w:r>
              <w:rPr>
                <w:sz w:val="18"/>
                <w:szCs w:val="18"/>
              </w:rPr>
              <w:t xml:space="preserve"> </w:t>
            </w:r>
            <w:r w:rsidR="00B63388">
              <w:rPr>
                <w:sz w:val="18"/>
                <w:szCs w:val="18"/>
              </w:rPr>
              <w:t xml:space="preserve">του </w:t>
            </w:r>
            <w:r w:rsidRPr="004326B4">
              <w:rPr>
                <w:sz w:val="18"/>
                <w:szCs w:val="18"/>
              </w:rPr>
              <w:t>2019</w:t>
            </w:r>
            <w:r>
              <w:rPr>
                <w:sz w:val="18"/>
                <w:szCs w:val="18"/>
              </w:rPr>
              <w:t xml:space="preserve">. Τα γενικά και διοικητικά έξοδα </w:t>
            </w:r>
            <w:r w:rsidR="00B63388">
              <w:rPr>
                <w:sz w:val="18"/>
                <w:szCs w:val="18"/>
              </w:rPr>
              <w:t xml:space="preserve">(συμπεριλαμβανομένων και των κερδών από την πώληση ακινήτων) </w:t>
            </w:r>
            <w:r>
              <w:rPr>
                <w:sz w:val="18"/>
                <w:szCs w:val="18"/>
              </w:rPr>
              <w:t>αυξήθηκαν</w:t>
            </w:r>
            <w:r w:rsidRPr="004326B4">
              <w:rPr>
                <w:sz w:val="18"/>
                <w:szCs w:val="18"/>
              </w:rPr>
              <w:t xml:space="preserve"> κατά 3% σε ετήσια βάση στα </w:t>
            </w:r>
            <w:r w:rsidR="00B63388">
              <w:rPr>
                <w:sz w:val="18"/>
                <w:szCs w:val="18"/>
              </w:rPr>
              <w:t>€</w:t>
            </w:r>
            <w:r w:rsidRPr="004326B4">
              <w:rPr>
                <w:sz w:val="18"/>
                <w:szCs w:val="18"/>
              </w:rPr>
              <w:t>3</w:t>
            </w:r>
            <w:r w:rsidR="00B63388">
              <w:rPr>
                <w:sz w:val="18"/>
                <w:szCs w:val="18"/>
              </w:rPr>
              <w:t>99</w:t>
            </w:r>
            <w:r w:rsidRPr="004326B4">
              <w:rPr>
                <w:sz w:val="18"/>
                <w:szCs w:val="18"/>
              </w:rPr>
              <w:t xml:space="preserve"> εκατ., καθώς τα έξοδα που σχ</w:t>
            </w:r>
            <w:r>
              <w:rPr>
                <w:sz w:val="18"/>
                <w:szCs w:val="18"/>
              </w:rPr>
              <w:t>ετίζονται με τον</w:t>
            </w:r>
            <w:r w:rsidRPr="004326B4">
              <w:rPr>
                <w:sz w:val="18"/>
                <w:szCs w:val="18"/>
              </w:rPr>
              <w:t xml:space="preserve"> NPE </w:t>
            </w:r>
            <w:r>
              <w:rPr>
                <w:sz w:val="18"/>
                <w:szCs w:val="18"/>
                <w:lang w:val="en-US"/>
              </w:rPr>
              <w:t>servicer</w:t>
            </w:r>
            <w:r w:rsidRPr="00476FC9">
              <w:rPr>
                <w:sz w:val="18"/>
                <w:szCs w:val="18"/>
              </w:rPr>
              <w:t xml:space="preserve"> </w:t>
            </w:r>
            <w:r>
              <w:rPr>
                <w:sz w:val="18"/>
                <w:szCs w:val="18"/>
              </w:rPr>
              <w:t xml:space="preserve">λογίστηκαν για όλο το </w:t>
            </w:r>
            <w:r w:rsidRPr="004326B4">
              <w:rPr>
                <w:sz w:val="18"/>
                <w:szCs w:val="18"/>
              </w:rPr>
              <w:t xml:space="preserve">2020 </w:t>
            </w:r>
            <w:r>
              <w:rPr>
                <w:sz w:val="18"/>
                <w:szCs w:val="18"/>
              </w:rPr>
              <w:t xml:space="preserve">σε αντίθεση με το 2019 που είχαν λογιστεί </w:t>
            </w:r>
            <w:r w:rsidR="00A776BB">
              <w:rPr>
                <w:sz w:val="18"/>
                <w:szCs w:val="18"/>
              </w:rPr>
              <w:t xml:space="preserve">μόνο </w:t>
            </w:r>
            <w:r>
              <w:rPr>
                <w:sz w:val="18"/>
                <w:szCs w:val="18"/>
              </w:rPr>
              <w:t>για 3</w:t>
            </w:r>
            <w:r w:rsidR="00A776BB">
              <w:rPr>
                <w:sz w:val="18"/>
                <w:szCs w:val="18"/>
              </w:rPr>
              <w:t>,</w:t>
            </w:r>
            <w:r>
              <w:rPr>
                <w:sz w:val="18"/>
                <w:szCs w:val="18"/>
              </w:rPr>
              <w:t>5 μήνες.</w:t>
            </w:r>
          </w:p>
        </w:tc>
      </w:tr>
      <w:tr w:rsidR="00F06BC8" w:rsidRPr="00387895" w14:paraId="4071E552" w14:textId="77777777" w:rsidTr="00526794">
        <w:trPr>
          <w:trHeight w:val="1126"/>
        </w:trPr>
        <w:tc>
          <w:tcPr>
            <w:tcW w:w="1985" w:type="dxa"/>
            <w:tcMar>
              <w:top w:w="57" w:type="dxa"/>
              <w:bottom w:w="57" w:type="dxa"/>
            </w:tcMar>
          </w:tcPr>
          <w:p w14:paraId="360A296B" w14:textId="7F579F14" w:rsidR="00F06BC8" w:rsidRPr="001717F2" w:rsidRDefault="0077163D" w:rsidP="00B96762">
            <w:pPr>
              <w:tabs>
                <w:tab w:val="left" w:pos="8262"/>
              </w:tabs>
              <w:spacing w:after="60"/>
              <w:ind w:left="32"/>
              <w:contextualSpacing/>
              <w:rPr>
                <w:rFonts w:cs="Calibri"/>
                <w:b/>
                <w:i/>
                <w:noProof/>
                <w:color w:val="FF0000"/>
                <w:spacing w:val="-6"/>
                <w:lang w:eastAsia="el-GR"/>
              </w:rPr>
            </w:pPr>
            <w:r>
              <w:rPr>
                <w:rFonts w:eastAsiaTheme="minorEastAsia" w:cs="Calibri"/>
                <w:i/>
                <w:color w:val="6691AB"/>
                <w:spacing w:val="-6"/>
              </w:rPr>
              <w:t>Κ</w:t>
            </w:r>
            <w:r w:rsidR="00F06BC8" w:rsidRPr="001717F2">
              <w:rPr>
                <w:rFonts w:eastAsiaTheme="minorEastAsia" w:cs="Calibri"/>
                <w:i/>
                <w:color w:val="6691AB"/>
                <w:spacing w:val="-6"/>
              </w:rPr>
              <w:t>έ</w:t>
            </w:r>
            <w:r w:rsidR="00F06BC8">
              <w:rPr>
                <w:rFonts w:eastAsiaTheme="minorEastAsia" w:cs="Calibri"/>
                <w:i/>
                <w:color w:val="6691AB"/>
                <w:spacing w:val="-6"/>
              </w:rPr>
              <w:t>ρδη προ φόρων και προβλέψεων +16</w:t>
            </w:r>
            <w:r w:rsidR="00F06BC8" w:rsidRPr="001717F2">
              <w:rPr>
                <w:rFonts w:eastAsiaTheme="minorEastAsia" w:cs="Calibri"/>
                <w:i/>
                <w:color w:val="6691AB"/>
                <w:spacing w:val="-6"/>
              </w:rPr>
              <w:t>% ετησίως</w:t>
            </w:r>
            <w:r>
              <w:rPr>
                <w:rFonts w:eastAsiaTheme="minorEastAsia" w:cs="Calibri"/>
                <w:i/>
                <w:color w:val="6691AB"/>
                <w:spacing w:val="-6"/>
              </w:rPr>
              <w:t xml:space="preserve"> σε συγκρίσιμη βάση</w:t>
            </w:r>
          </w:p>
        </w:tc>
        <w:tc>
          <w:tcPr>
            <w:tcW w:w="7371" w:type="dxa"/>
            <w:tcMar>
              <w:top w:w="57" w:type="dxa"/>
              <w:bottom w:w="57" w:type="dxa"/>
            </w:tcMar>
          </w:tcPr>
          <w:p w14:paraId="3EE3B3B4" w14:textId="0E8B704D" w:rsidR="00F06BC8" w:rsidRPr="00387895" w:rsidRDefault="00B96762" w:rsidP="00366C06">
            <w:pPr>
              <w:tabs>
                <w:tab w:val="left" w:pos="7080"/>
              </w:tabs>
              <w:spacing w:after="80" w:line="240" w:lineRule="exact"/>
              <w:ind w:left="38" w:right="74"/>
              <w:jc w:val="both"/>
              <w:rPr>
                <w:sz w:val="18"/>
                <w:szCs w:val="18"/>
              </w:rPr>
            </w:pPr>
            <w:r>
              <w:rPr>
                <w:sz w:val="18"/>
                <w:szCs w:val="18"/>
              </w:rPr>
              <w:t>Τα έσοδα</w:t>
            </w:r>
            <w:r w:rsidR="00F06BC8" w:rsidRPr="006D68D7">
              <w:rPr>
                <w:sz w:val="18"/>
                <w:szCs w:val="18"/>
              </w:rPr>
              <w:t xml:space="preserve"> προ</w:t>
            </w:r>
            <w:r>
              <w:rPr>
                <w:sz w:val="18"/>
                <w:szCs w:val="18"/>
              </w:rPr>
              <w:t xml:space="preserve"> </w:t>
            </w:r>
            <w:r w:rsidR="00F06BC8" w:rsidRPr="006D68D7">
              <w:rPr>
                <w:sz w:val="18"/>
                <w:szCs w:val="18"/>
              </w:rPr>
              <w:t xml:space="preserve">προβλέψεων </w:t>
            </w:r>
            <w:r w:rsidR="00F06BC8">
              <w:rPr>
                <w:sz w:val="18"/>
                <w:szCs w:val="18"/>
              </w:rPr>
              <w:t xml:space="preserve">σε συγκρίσιμη βάση </w:t>
            </w:r>
            <w:r w:rsidR="00F06BC8" w:rsidRPr="006D68D7">
              <w:rPr>
                <w:sz w:val="18"/>
                <w:szCs w:val="18"/>
              </w:rPr>
              <w:t>έφτασ</w:t>
            </w:r>
            <w:r w:rsidR="00366C06">
              <w:rPr>
                <w:sz w:val="18"/>
                <w:szCs w:val="18"/>
              </w:rPr>
              <w:t>αν</w:t>
            </w:r>
            <w:r w:rsidR="00F06BC8" w:rsidRPr="006D68D7">
              <w:rPr>
                <w:sz w:val="18"/>
                <w:szCs w:val="18"/>
              </w:rPr>
              <w:t xml:space="preserve"> τα </w:t>
            </w:r>
            <w:r w:rsidR="00D02C91">
              <w:rPr>
                <w:sz w:val="18"/>
                <w:szCs w:val="18"/>
              </w:rPr>
              <w:t>€</w:t>
            </w:r>
            <w:r>
              <w:rPr>
                <w:sz w:val="18"/>
                <w:szCs w:val="18"/>
              </w:rPr>
              <w:t>1</w:t>
            </w:r>
            <w:r w:rsidR="00D02C91">
              <w:rPr>
                <w:sz w:val="18"/>
                <w:szCs w:val="18"/>
              </w:rPr>
              <w:t>.</w:t>
            </w:r>
            <w:r>
              <w:rPr>
                <w:sz w:val="18"/>
                <w:szCs w:val="18"/>
              </w:rPr>
              <w:t>001</w:t>
            </w:r>
            <w:r w:rsidR="00F06BC8" w:rsidRPr="006D68D7">
              <w:rPr>
                <w:sz w:val="18"/>
                <w:szCs w:val="18"/>
              </w:rPr>
              <w:t xml:space="preserve"> εκατ. το</w:t>
            </w:r>
            <w:r w:rsidR="00F06BC8">
              <w:rPr>
                <w:sz w:val="18"/>
                <w:szCs w:val="18"/>
              </w:rPr>
              <w:t xml:space="preserve"> </w:t>
            </w:r>
            <w:r w:rsidR="00F06BC8" w:rsidRPr="006D68D7">
              <w:rPr>
                <w:sz w:val="18"/>
                <w:szCs w:val="18"/>
              </w:rPr>
              <w:t xml:space="preserve">2020 σε σύγκριση με </w:t>
            </w:r>
            <w:r w:rsidR="00D02C91">
              <w:rPr>
                <w:sz w:val="18"/>
                <w:szCs w:val="18"/>
              </w:rPr>
              <w:t>€</w:t>
            </w:r>
            <w:r w:rsidR="00F06BC8" w:rsidRPr="006D68D7">
              <w:rPr>
                <w:sz w:val="18"/>
                <w:szCs w:val="18"/>
              </w:rPr>
              <w:t xml:space="preserve">860 εκατ. το 2019, αύξηση 16% σε ετήσια βάση. Επιπλέον, το </w:t>
            </w:r>
            <w:r w:rsidR="00F06BC8">
              <w:rPr>
                <w:sz w:val="18"/>
                <w:szCs w:val="18"/>
              </w:rPr>
              <w:t>έσοδα από τόκους και προμήθειες μείον τα επαναλαμβανόμενα</w:t>
            </w:r>
            <w:r w:rsidR="00F06BC8" w:rsidRPr="006D68D7">
              <w:rPr>
                <w:sz w:val="18"/>
                <w:szCs w:val="18"/>
              </w:rPr>
              <w:t xml:space="preserve"> </w:t>
            </w:r>
            <w:r w:rsidR="00F06BC8">
              <w:rPr>
                <w:sz w:val="18"/>
                <w:szCs w:val="18"/>
              </w:rPr>
              <w:t xml:space="preserve">λειτουργικά έξοδα </w:t>
            </w:r>
            <w:r w:rsidR="00F06BC8" w:rsidRPr="006D68D7">
              <w:rPr>
                <w:sz w:val="18"/>
                <w:szCs w:val="18"/>
              </w:rPr>
              <w:t xml:space="preserve">το 2020 ανήλθαν στα </w:t>
            </w:r>
            <w:r w:rsidR="00D02C91">
              <w:rPr>
                <w:sz w:val="18"/>
                <w:szCs w:val="18"/>
              </w:rPr>
              <w:t>€</w:t>
            </w:r>
            <w:r w:rsidR="00F06BC8" w:rsidRPr="006D68D7">
              <w:rPr>
                <w:sz w:val="18"/>
                <w:szCs w:val="18"/>
              </w:rPr>
              <w:t xml:space="preserve">865 εκατ., 12% υψηλότερα σε ετήσια βάση, </w:t>
            </w:r>
            <w:r w:rsidR="00447B46">
              <w:rPr>
                <w:sz w:val="18"/>
                <w:szCs w:val="18"/>
              </w:rPr>
              <w:t xml:space="preserve">αποδεικνύοντας </w:t>
            </w:r>
            <w:r w:rsidR="00F06BC8" w:rsidRPr="006D68D7">
              <w:rPr>
                <w:sz w:val="18"/>
                <w:szCs w:val="18"/>
              </w:rPr>
              <w:t xml:space="preserve">την ισχύ του βασικού </w:t>
            </w:r>
            <w:proofErr w:type="spellStart"/>
            <w:r w:rsidR="00F06BC8" w:rsidRPr="006D68D7">
              <w:rPr>
                <w:sz w:val="18"/>
                <w:szCs w:val="18"/>
              </w:rPr>
              <w:t>franchise</w:t>
            </w:r>
            <w:proofErr w:type="spellEnd"/>
            <w:r w:rsidR="00F06BC8" w:rsidRPr="006D68D7">
              <w:rPr>
                <w:sz w:val="18"/>
                <w:szCs w:val="18"/>
              </w:rPr>
              <w:t xml:space="preserve"> της Τράπεζας.</w:t>
            </w:r>
          </w:p>
        </w:tc>
      </w:tr>
      <w:tr w:rsidR="00F06BC8" w:rsidRPr="00387895" w14:paraId="15A3F4D7" w14:textId="77777777" w:rsidTr="00526794">
        <w:trPr>
          <w:trHeight w:val="1891"/>
        </w:trPr>
        <w:tc>
          <w:tcPr>
            <w:tcW w:w="1985" w:type="dxa"/>
            <w:tcMar>
              <w:top w:w="57" w:type="dxa"/>
              <w:bottom w:w="57" w:type="dxa"/>
            </w:tcMar>
          </w:tcPr>
          <w:p w14:paraId="6C7747F6" w14:textId="1EE080DE" w:rsidR="00F06BC8" w:rsidRPr="00387895" w:rsidRDefault="00F06BC8" w:rsidP="00F06BC8">
            <w:pPr>
              <w:tabs>
                <w:tab w:val="left" w:pos="8262"/>
              </w:tabs>
              <w:spacing w:after="60"/>
              <w:ind w:right="74"/>
              <w:contextualSpacing/>
              <w:rPr>
                <w:rFonts w:cs="Calibri"/>
                <w:b/>
                <w:i/>
                <w:noProof/>
                <w:color w:val="FF0000"/>
                <w:lang w:eastAsia="el-GR"/>
              </w:rPr>
            </w:pPr>
            <w:r>
              <w:rPr>
                <w:rFonts w:eastAsiaTheme="minorEastAsia" w:cs="Calibri"/>
                <w:i/>
                <w:color w:val="6691AB"/>
              </w:rPr>
              <w:t xml:space="preserve">Αυξημένο </w:t>
            </w:r>
            <w:r w:rsidR="00447B46">
              <w:rPr>
                <w:rFonts w:eastAsiaTheme="minorEastAsia" w:cs="Calibri"/>
                <w:i/>
                <w:color w:val="6691AB"/>
              </w:rPr>
              <w:t xml:space="preserve">έξοδο προβλέψεων </w:t>
            </w:r>
            <w:r>
              <w:rPr>
                <w:rFonts w:eastAsiaTheme="minorEastAsia" w:cs="Calibri"/>
                <w:i/>
                <w:color w:val="6691AB"/>
              </w:rPr>
              <w:t xml:space="preserve">λόγω της πανδημίας </w:t>
            </w:r>
            <w:r w:rsidR="00447B46">
              <w:rPr>
                <w:rFonts w:eastAsiaTheme="minorEastAsia" w:cs="Calibri"/>
                <w:i/>
                <w:color w:val="6691AB"/>
                <w:lang w:val="en-US"/>
              </w:rPr>
              <w:t>COVID</w:t>
            </w:r>
            <w:r w:rsidRPr="00ED0FD7">
              <w:rPr>
                <w:rFonts w:eastAsiaTheme="minorEastAsia" w:cs="Calibri"/>
                <w:i/>
                <w:color w:val="6691AB"/>
              </w:rPr>
              <w:t>-19</w:t>
            </w:r>
            <w:r w:rsidR="00256173">
              <w:rPr>
                <w:rFonts w:eastAsiaTheme="minorEastAsia" w:cs="Calibri"/>
                <w:i/>
                <w:color w:val="6691AB"/>
              </w:rPr>
              <w:t xml:space="preserve"> και άλλων </w:t>
            </w:r>
            <w:proofErr w:type="spellStart"/>
            <w:r w:rsidR="00256173">
              <w:rPr>
                <w:rFonts w:eastAsiaTheme="minorEastAsia" w:cs="Calibri"/>
                <w:i/>
                <w:color w:val="6691AB"/>
              </w:rPr>
              <w:t>απομειώσεων</w:t>
            </w:r>
            <w:proofErr w:type="spellEnd"/>
          </w:p>
        </w:tc>
        <w:tc>
          <w:tcPr>
            <w:tcW w:w="7371" w:type="dxa"/>
            <w:tcMar>
              <w:top w:w="57" w:type="dxa"/>
              <w:bottom w:w="57" w:type="dxa"/>
            </w:tcMar>
          </w:tcPr>
          <w:p w14:paraId="3710AC04" w14:textId="747CA892" w:rsidR="00F06BC8" w:rsidRPr="00387895" w:rsidRDefault="00F06BC8" w:rsidP="00526794">
            <w:pPr>
              <w:tabs>
                <w:tab w:val="left" w:pos="7080"/>
              </w:tabs>
              <w:spacing w:after="80" w:line="240" w:lineRule="exact"/>
              <w:ind w:left="38" w:right="74"/>
              <w:jc w:val="both"/>
              <w:rPr>
                <w:sz w:val="18"/>
                <w:szCs w:val="18"/>
              </w:rPr>
            </w:pPr>
            <w:r>
              <w:rPr>
                <w:sz w:val="18"/>
                <w:szCs w:val="18"/>
              </w:rPr>
              <w:t>Οι προβλέψεις  δανείων</w:t>
            </w:r>
            <w:r w:rsidRPr="000B68E5">
              <w:rPr>
                <w:sz w:val="18"/>
                <w:szCs w:val="18"/>
              </w:rPr>
              <w:t xml:space="preserve"> για το 2020 ανήλθαν σε </w:t>
            </w:r>
            <w:r w:rsidR="00B96762">
              <w:rPr>
                <w:sz w:val="18"/>
                <w:szCs w:val="18"/>
              </w:rPr>
              <w:t>€</w:t>
            </w:r>
            <w:r w:rsidRPr="000B68E5">
              <w:rPr>
                <w:sz w:val="18"/>
                <w:szCs w:val="18"/>
              </w:rPr>
              <w:t xml:space="preserve">1.104 εκατ. από </w:t>
            </w:r>
            <w:r w:rsidR="00E83852">
              <w:rPr>
                <w:sz w:val="18"/>
                <w:szCs w:val="18"/>
              </w:rPr>
              <w:t>€</w:t>
            </w:r>
            <w:r w:rsidRPr="000B68E5">
              <w:rPr>
                <w:sz w:val="18"/>
                <w:szCs w:val="18"/>
              </w:rPr>
              <w:t xml:space="preserve">710 εκατ. κατά τη διάρκεια του 2019. Οι εφάπαξ </w:t>
            </w:r>
            <w:proofErr w:type="spellStart"/>
            <w:r w:rsidRPr="000B68E5">
              <w:rPr>
                <w:sz w:val="18"/>
                <w:szCs w:val="18"/>
              </w:rPr>
              <w:t>απομειώσεις</w:t>
            </w:r>
            <w:proofErr w:type="spellEnd"/>
            <w:r w:rsidRPr="000B68E5">
              <w:rPr>
                <w:sz w:val="18"/>
                <w:szCs w:val="18"/>
              </w:rPr>
              <w:t xml:space="preserve"> που οφείλονται στην πανδημία Covid-19 και άλλες </w:t>
            </w:r>
            <w:proofErr w:type="spellStart"/>
            <w:r w:rsidRPr="000B68E5">
              <w:rPr>
                <w:sz w:val="18"/>
                <w:szCs w:val="18"/>
              </w:rPr>
              <w:t>απομειώσεις</w:t>
            </w:r>
            <w:proofErr w:type="spellEnd"/>
            <w:r w:rsidRPr="000B68E5">
              <w:rPr>
                <w:sz w:val="18"/>
                <w:szCs w:val="18"/>
              </w:rPr>
              <w:t xml:space="preserve"> που πραγματοποιήθηκαν κατά την προετοιμασία της εκκαθάρισης </w:t>
            </w:r>
            <w:r>
              <w:rPr>
                <w:sz w:val="18"/>
                <w:szCs w:val="18"/>
              </w:rPr>
              <w:t xml:space="preserve">του </w:t>
            </w:r>
            <w:r w:rsidR="00447B46">
              <w:rPr>
                <w:sz w:val="18"/>
                <w:szCs w:val="18"/>
              </w:rPr>
              <w:t xml:space="preserve">ισολογισμού </w:t>
            </w:r>
            <w:r>
              <w:rPr>
                <w:sz w:val="18"/>
                <w:szCs w:val="18"/>
              </w:rPr>
              <w:t xml:space="preserve">από </w:t>
            </w:r>
            <w:r w:rsidR="00182520">
              <w:rPr>
                <w:sz w:val="18"/>
                <w:szCs w:val="18"/>
                <w:lang w:val="en-US"/>
              </w:rPr>
              <w:t>NPEs</w:t>
            </w:r>
            <w:r w:rsidR="00447B46" w:rsidRPr="00447B46">
              <w:rPr>
                <w:sz w:val="18"/>
                <w:szCs w:val="18"/>
              </w:rPr>
              <w:t xml:space="preserve"> </w:t>
            </w:r>
            <w:r w:rsidRPr="000B68E5">
              <w:rPr>
                <w:sz w:val="18"/>
                <w:szCs w:val="18"/>
              </w:rPr>
              <w:t xml:space="preserve">ανήλθαν σε </w:t>
            </w:r>
            <w:r w:rsidR="00E83852">
              <w:rPr>
                <w:sz w:val="18"/>
                <w:szCs w:val="18"/>
              </w:rPr>
              <w:t xml:space="preserve">€695 </w:t>
            </w:r>
            <w:r w:rsidRPr="000B68E5">
              <w:rPr>
                <w:sz w:val="18"/>
                <w:szCs w:val="18"/>
              </w:rPr>
              <w:t xml:space="preserve">εκατ. Το </w:t>
            </w:r>
            <w:r w:rsidR="00B96762">
              <w:rPr>
                <w:sz w:val="18"/>
                <w:szCs w:val="18"/>
              </w:rPr>
              <w:t xml:space="preserve">έξοδο </w:t>
            </w:r>
            <w:r w:rsidR="00447B46">
              <w:rPr>
                <w:sz w:val="18"/>
                <w:szCs w:val="18"/>
              </w:rPr>
              <w:t xml:space="preserve">προβλέψεων </w:t>
            </w:r>
            <w:r w:rsidRPr="000B68E5">
              <w:rPr>
                <w:sz w:val="18"/>
                <w:szCs w:val="18"/>
              </w:rPr>
              <w:t xml:space="preserve">ως ποσοστό των </w:t>
            </w:r>
            <w:r>
              <w:rPr>
                <w:sz w:val="18"/>
                <w:szCs w:val="18"/>
              </w:rPr>
              <w:t xml:space="preserve">δανείων </w:t>
            </w:r>
            <w:r w:rsidR="00B96762">
              <w:rPr>
                <w:sz w:val="18"/>
                <w:szCs w:val="18"/>
              </w:rPr>
              <w:t xml:space="preserve">μετά από προβλέψεις </w:t>
            </w:r>
            <w:r>
              <w:rPr>
                <w:sz w:val="18"/>
                <w:szCs w:val="18"/>
              </w:rPr>
              <w:t>ανήλθε σε 1,</w:t>
            </w:r>
            <w:r w:rsidR="00E83852">
              <w:rPr>
                <w:sz w:val="18"/>
                <w:szCs w:val="18"/>
              </w:rPr>
              <w:t>5%</w:t>
            </w:r>
            <w:r w:rsidR="00447B46">
              <w:rPr>
                <w:sz w:val="18"/>
                <w:szCs w:val="18"/>
              </w:rPr>
              <w:t xml:space="preserve"> έναντι 1,7% το 2019</w:t>
            </w:r>
            <w:r w:rsidRPr="000B68E5">
              <w:rPr>
                <w:sz w:val="18"/>
                <w:szCs w:val="18"/>
              </w:rPr>
              <w:t xml:space="preserve">. Επιπλέον, ο Όμιλος για να αποτυπώσει την αβεβαιότητα που προήλθε από την πανδημία Covid-19 αύξησε τα δάνεια </w:t>
            </w:r>
            <w:r w:rsidR="00B96762">
              <w:rPr>
                <w:sz w:val="18"/>
                <w:szCs w:val="18"/>
                <w:lang w:val="en-US"/>
              </w:rPr>
              <w:t>Stage</w:t>
            </w:r>
            <w:r w:rsidR="00B96762" w:rsidRPr="00B96762">
              <w:rPr>
                <w:sz w:val="18"/>
                <w:szCs w:val="18"/>
              </w:rPr>
              <w:t xml:space="preserve"> </w:t>
            </w:r>
            <w:r w:rsidRPr="000B68E5">
              <w:rPr>
                <w:sz w:val="18"/>
                <w:szCs w:val="18"/>
              </w:rPr>
              <w:t xml:space="preserve">2 κατά </w:t>
            </w:r>
            <w:r w:rsidR="00962A79">
              <w:rPr>
                <w:sz w:val="18"/>
                <w:szCs w:val="18"/>
              </w:rPr>
              <w:t>€</w:t>
            </w:r>
            <w:r w:rsidRPr="000B68E5">
              <w:rPr>
                <w:sz w:val="18"/>
                <w:szCs w:val="18"/>
              </w:rPr>
              <w:t xml:space="preserve">0,8 </w:t>
            </w:r>
            <w:r w:rsidR="009979CE">
              <w:rPr>
                <w:sz w:val="18"/>
                <w:szCs w:val="18"/>
              </w:rPr>
              <w:t>δισ.</w:t>
            </w:r>
            <w:r w:rsidRPr="000B68E5">
              <w:rPr>
                <w:sz w:val="18"/>
                <w:szCs w:val="18"/>
              </w:rPr>
              <w:t xml:space="preserve"> </w:t>
            </w:r>
            <w:r>
              <w:rPr>
                <w:sz w:val="18"/>
                <w:szCs w:val="18"/>
              </w:rPr>
              <w:t>το 4</w:t>
            </w:r>
            <w:r w:rsidRPr="00CE0227">
              <w:rPr>
                <w:sz w:val="18"/>
                <w:szCs w:val="18"/>
                <w:vertAlign w:val="superscript"/>
              </w:rPr>
              <w:t>ο</w:t>
            </w:r>
            <w:r>
              <w:rPr>
                <w:sz w:val="18"/>
                <w:szCs w:val="18"/>
              </w:rPr>
              <w:t xml:space="preserve"> τρίμηνο του 2020</w:t>
            </w:r>
            <w:r w:rsidRPr="000B68E5">
              <w:rPr>
                <w:sz w:val="18"/>
                <w:szCs w:val="18"/>
              </w:rPr>
              <w:t>.</w:t>
            </w:r>
          </w:p>
        </w:tc>
      </w:tr>
      <w:tr w:rsidR="00F06BC8" w:rsidRPr="00BC7F73" w14:paraId="0833AF13" w14:textId="77777777" w:rsidTr="00526794">
        <w:trPr>
          <w:trHeight w:val="145"/>
        </w:trPr>
        <w:tc>
          <w:tcPr>
            <w:tcW w:w="1985" w:type="dxa"/>
            <w:tcMar>
              <w:top w:w="57" w:type="dxa"/>
              <w:bottom w:w="57" w:type="dxa"/>
            </w:tcMar>
          </w:tcPr>
          <w:p w14:paraId="4DF49859" w14:textId="77777777" w:rsidR="00F06BC8" w:rsidRPr="00387895" w:rsidRDefault="00F06BC8" w:rsidP="00FA32B3">
            <w:pPr>
              <w:tabs>
                <w:tab w:val="left" w:pos="8262"/>
              </w:tabs>
              <w:spacing w:after="60"/>
              <w:ind w:right="74"/>
              <w:contextualSpacing/>
              <w:rPr>
                <w:rFonts w:cs="Calibri"/>
                <w:b/>
                <w:i/>
                <w:color w:val="FF0000"/>
                <w:spacing w:val="-8"/>
                <w:sz w:val="24"/>
                <w:szCs w:val="24"/>
              </w:rPr>
            </w:pPr>
            <w:r w:rsidRPr="00F407DA">
              <w:rPr>
                <w:rFonts w:eastAsiaTheme="minorEastAsia" w:cs="Calibri"/>
                <w:i/>
                <w:color w:val="6691AB"/>
                <w:spacing w:val="-8"/>
              </w:rPr>
              <w:t>Καθαρ</w:t>
            </w:r>
            <w:r>
              <w:rPr>
                <w:rFonts w:eastAsiaTheme="minorEastAsia" w:cs="Calibri"/>
                <w:i/>
                <w:color w:val="6691AB"/>
                <w:spacing w:val="-8"/>
              </w:rPr>
              <w:t>ό αποτέλεσμα</w:t>
            </w:r>
            <w:r w:rsidRPr="00387895">
              <w:rPr>
                <w:rFonts w:eastAsiaTheme="minorEastAsia" w:cs="Calibri"/>
                <w:i/>
                <w:color w:val="6691AB"/>
                <w:spacing w:val="-8"/>
              </w:rPr>
              <w:t xml:space="preserve"> </w:t>
            </w:r>
            <w:r>
              <w:rPr>
                <w:rFonts w:eastAsiaTheme="minorEastAsia" w:cs="Calibri"/>
                <w:i/>
                <w:color w:val="6691AB"/>
                <w:spacing w:val="-8"/>
              </w:rPr>
              <w:t>επιβαρυμένο</w:t>
            </w:r>
            <w:r w:rsidRPr="00387895">
              <w:rPr>
                <w:rFonts w:eastAsiaTheme="minorEastAsia" w:cs="Calibri"/>
                <w:i/>
                <w:color w:val="6691AB"/>
                <w:spacing w:val="-8"/>
              </w:rPr>
              <w:t xml:space="preserve"> από </w:t>
            </w:r>
            <w:r w:rsidR="00FA32B3">
              <w:rPr>
                <w:rFonts w:eastAsiaTheme="minorEastAsia" w:cs="Calibri"/>
                <w:i/>
                <w:color w:val="6691AB"/>
                <w:spacing w:val="-8"/>
              </w:rPr>
              <w:t>αυξημένο έξοδο προβλέψεων</w:t>
            </w:r>
          </w:p>
        </w:tc>
        <w:tc>
          <w:tcPr>
            <w:tcW w:w="7371" w:type="dxa"/>
            <w:tcMar>
              <w:top w:w="57" w:type="dxa"/>
              <w:bottom w:w="57" w:type="dxa"/>
            </w:tcMar>
          </w:tcPr>
          <w:p w14:paraId="64195C9C" w14:textId="707573C1" w:rsidR="00F06BC8" w:rsidRDefault="00F06BC8" w:rsidP="00526794">
            <w:pPr>
              <w:tabs>
                <w:tab w:val="left" w:pos="7080"/>
              </w:tabs>
              <w:spacing w:after="80" w:line="240" w:lineRule="exact"/>
              <w:ind w:left="38" w:right="74"/>
              <w:jc w:val="both"/>
              <w:rPr>
                <w:spacing w:val="-2"/>
                <w:sz w:val="18"/>
                <w:szCs w:val="18"/>
              </w:rPr>
            </w:pPr>
            <w:r w:rsidRPr="00855AC9">
              <w:rPr>
                <w:spacing w:val="-2"/>
                <w:sz w:val="18"/>
                <w:szCs w:val="18"/>
              </w:rPr>
              <w:t xml:space="preserve">Οι απώλειες προ φόρων το 2020 ανήλθαν σε </w:t>
            </w:r>
            <w:r w:rsidR="00B96762">
              <w:rPr>
                <w:spacing w:val="-2"/>
                <w:sz w:val="18"/>
                <w:szCs w:val="18"/>
              </w:rPr>
              <w:t>€</w:t>
            </w:r>
            <w:r>
              <w:rPr>
                <w:spacing w:val="-2"/>
                <w:sz w:val="18"/>
                <w:szCs w:val="18"/>
              </w:rPr>
              <w:t>530 εκατ. σε σύγκριση με</w:t>
            </w:r>
            <w:r w:rsidRPr="00855AC9">
              <w:rPr>
                <w:spacing w:val="-2"/>
                <w:sz w:val="18"/>
                <w:szCs w:val="18"/>
              </w:rPr>
              <w:t xml:space="preserve"> κέρδη </w:t>
            </w:r>
            <w:r w:rsidR="00962A79">
              <w:rPr>
                <w:spacing w:val="-2"/>
                <w:sz w:val="18"/>
                <w:szCs w:val="18"/>
              </w:rPr>
              <w:t>€</w:t>
            </w:r>
            <w:r w:rsidRPr="00855AC9">
              <w:rPr>
                <w:spacing w:val="-2"/>
                <w:sz w:val="18"/>
                <w:szCs w:val="18"/>
              </w:rPr>
              <w:t>389 εκ</w:t>
            </w:r>
            <w:r>
              <w:rPr>
                <w:spacing w:val="-2"/>
                <w:sz w:val="18"/>
                <w:szCs w:val="18"/>
              </w:rPr>
              <w:t>ατ. το 2019. Λαμβάνοντας υπόψη</w:t>
            </w:r>
            <w:r w:rsidRPr="00855AC9">
              <w:rPr>
                <w:spacing w:val="-2"/>
                <w:sz w:val="18"/>
                <w:szCs w:val="18"/>
              </w:rPr>
              <w:t xml:space="preserve"> το εφάπαξ κόστος αναδιάρθρωσης και τις </w:t>
            </w:r>
            <w:proofErr w:type="spellStart"/>
            <w:r w:rsidRPr="00855AC9">
              <w:rPr>
                <w:spacing w:val="-2"/>
                <w:sz w:val="18"/>
                <w:szCs w:val="18"/>
              </w:rPr>
              <w:t>απομειώσεις</w:t>
            </w:r>
            <w:proofErr w:type="spellEnd"/>
            <w:r w:rsidRPr="00855AC9">
              <w:rPr>
                <w:spacing w:val="-2"/>
                <w:sz w:val="18"/>
                <w:szCs w:val="18"/>
              </w:rPr>
              <w:t xml:space="preserve"> που σχετίζονται με το Covid-19 και την προετοιμασία εκκαθάρισης </w:t>
            </w:r>
            <w:proofErr w:type="spellStart"/>
            <w:r w:rsidR="00182520">
              <w:rPr>
                <w:spacing w:val="-2"/>
                <w:sz w:val="18"/>
                <w:szCs w:val="18"/>
              </w:rPr>
              <w:t>NPEs</w:t>
            </w:r>
            <w:proofErr w:type="spellEnd"/>
            <w:r w:rsidRPr="00855AC9">
              <w:rPr>
                <w:spacing w:val="-2"/>
                <w:sz w:val="18"/>
                <w:szCs w:val="18"/>
              </w:rPr>
              <w:t xml:space="preserve">, ο Όμιλος θα είχε </w:t>
            </w:r>
            <w:r>
              <w:rPr>
                <w:spacing w:val="-2"/>
                <w:sz w:val="18"/>
                <w:szCs w:val="18"/>
              </w:rPr>
              <w:t xml:space="preserve">επαναλαμβανόμενα κέρδη προ φόρων της τάξης των </w:t>
            </w:r>
            <w:r w:rsidR="00E83852">
              <w:rPr>
                <w:spacing w:val="-2"/>
                <w:sz w:val="18"/>
                <w:szCs w:val="18"/>
              </w:rPr>
              <w:t>€312</w:t>
            </w:r>
            <w:r w:rsidRPr="00855AC9">
              <w:rPr>
                <w:spacing w:val="-2"/>
                <w:sz w:val="18"/>
                <w:szCs w:val="18"/>
              </w:rPr>
              <w:t xml:space="preserve"> εκατ. </w:t>
            </w:r>
            <w:r>
              <w:rPr>
                <w:spacing w:val="-2"/>
                <w:sz w:val="18"/>
                <w:szCs w:val="18"/>
              </w:rPr>
              <w:t xml:space="preserve">σε </w:t>
            </w:r>
            <w:r w:rsidR="00AC2977">
              <w:rPr>
                <w:spacing w:val="-2"/>
                <w:sz w:val="18"/>
                <w:szCs w:val="18"/>
              </w:rPr>
              <w:t>σχέση</w:t>
            </w:r>
            <w:r>
              <w:rPr>
                <w:spacing w:val="-2"/>
                <w:sz w:val="18"/>
                <w:szCs w:val="18"/>
              </w:rPr>
              <w:t xml:space="preserve"> με </w:t>
            </w:r>
            <w:r w:rsidR="00962A79">
              <w:rPr>
                <w:spacing w:val="-2"/>
                <w:sz w:val="18"/>
                <w:szCs w:val="18"/>
              </w:rPr>
              <w:t>€</w:t>
            </w:r>
            <w:r>
              <w:rPr>
                <w:spacing w:val="-2"/>
                <w:sz w:val="18"/>
                <w:szCs w:val="18"/>
              </w:rPr>
              <w:t>74</w:t>
            </w:r>
            <w:r w:rsidR="0077163D">
              <w:rPr>
                <w:spacing w:val="-2"/>
                <w:sz w:val="18"/>
                <w:szCs w:val="18"/>
              </w:rPr>
              <w:t xml:space="preserve"> </w:t>
            </w:r>
            <w:r>
              <w:rPr>
                <w:spacing w:val="-2"/>
                <w:sz w:val="18"/>
                <w:szCs w:val="18"/>
              </w:rPr>
              <w:t>εκ</w:t>
            </w:r>
            <w:r w:rsidR="00962A79">
              <w:rPr>
                <w:spacing w:val="-2"/>
                <w:sz w:val="18"/>
                <w:szCs w:val="18"/>
              </w:rPr>
              <w:t>ατ</w:t>
            </w:r>
            <w:r>
              <w:rPr>
                <w:spacing w:val="-2"/>
                <w:sz w:val="18"/>
                <w:szCs w:val="18"/>
              </w:rPr>
              <w:t>. το 2019.</w:t>
            </w:r>
            <w:r w:rsidRPr="00855AC9">
              <w:rPr>
                <w:spacing w:val="-2"/>
                <w:sz w:val="18"/>
                <w:szCs w:val="18"/>
              </w:rPr>
              <w:t xml:space="preserve"> Τα καθαρά αποτελέσματα του Ομίλου διαμορφώθηκαν σε ζημ</w:t>
            </w:r>
            <w:r w:rsidR="00962A79">
              <w:rPr>
                <w:spacing w:val="-2"/>
                <w:sz w:val="18"/>
                <w:szCs w:val="18"/>
              </w:rPr>
              <w:t>ία</w:t>
            </w:r>
            <w:r w:rsidRPr="00855AC9">
              <w:rPr>
                <w:spacing w:val="-2"/>
                <w:sz w:val="18"/>
                <w:szCs w:val="18"/>
              </w:rPr>
              <w:t xml:space="preserve"> </w:t>
            </w:r>
            <w:r w:rsidR="00962A79">
              <w:rPr>
                <w:spacing w:val="-2"/>
                <w:sz w:val="18"/>
                <w:szCs w:val="18"/>
              </w:rPr>
              <w:t>€</w:t>
            </w:r>
            <w:r w:rsidRPr="00855AC9">
              <w:rPr>
                <w:spacing w:val="-2"/>
                <w:sz w:val="18"/>
                <w:szCs w:val="18"/>
              </w:rPr>
              <w:t xml:space="preserve">668 εκατ., σε σύγκριση με τα καθαρά κέρδη των </w:t>
            </w:r>
            <w:r w:rsidR="00962A79">
              <w:rPr>
                <w:spacing w:val="-2"/>
                <w:sz w:val="18"/>
                <w:szCs w:val="18"/>
              </w:rPr>
              <w:t>€</w:t>
            </w:r>
            <w:r w:rsidRPr="00855AC9">
              <w:rPr>
                <w:spacing w:val="-2"/>
                <w:sz w:val="18"/>
                <w:szCs w:val="18"/>
              </w:rPr>
              <w:t xml:space="preserve">276 εκατ. το 2019. Ο φόρος της χρήσης 2020 ανήλθε στα </w:t>
            </w:r>
            <w:r w:rsidR="00B96762">
              <w:rPr>
                <w:spacing w:val="-2"/>
                <w:sz w:val="18"/>
                <w:szCs w:val="18"/>
              </w:rPr>
              <w:t>€</w:t>
            </w:r>
            <w:r w:rsidRPr="00855AC9">
              <w:rPr>
                <w:spacing w:val="-2"/>
                <w:sz w:val="18"/>
                <w:szCs w:val="18"/>
              </w:rPr>
              <w:t xml:space="preserve">128 εκατ. κυρίως ως αποτέλεσμα της </w:t>
            </w:r>
            <w:r w:rsidR="00B96762">
              <w:rPr>
                <w:spacing w:val="-2"/>
                <w:sz w:val="18"/>
                <w:szCs w:val="18"/>
              </w:rPr>
              <w:t xml:space="preserve">αναγνώρισης </w:t>
            </w:r>
            <w:r w:rsidRPr="00855AC9">
              <w:rPr>
                <w:spacing w:val="-2"/>
                <w:sz w:val="18"/>
                <w:szCs w:val="18"/>
              </w:rPr>
              <w:t xml:space="preserve">φόρου που σχετίζεται με τις </w:t>
            </w:r>
            <w:proofErr w:type="spellStart"/>
            <w:r w:rsidRPr="00855AC9">
              <w:rPr>
                <w:spacing w:val="-2"/>
                <w:sz w:val="18"/>
                <w:szCs w:val="18"/>
              </w:rPr>
              <w:t>τιτλοποιήσεις</w:t>
            </w:r>
            <w:proofErr w:type="spellEnd"/>
            <w:r w:rsidRPr="00855AC9">
              <w:rPr>
                <w:spacing w:val="-2"/>
                <w:sz w:val="18"/>
                <w:szCs w:val="18"/>
              </w:rPr>
              <w:t xml:space="preserve"> Phoenix &amp; Vega</w:t>
            </w:r>
            <w:r w:rsidR="00BB746A">
              <w:rPr>
                <w:spacing w:val="-2"/>
                <w:sz w:val="18"/>
                <w:szCs w:val="18"/>
              </w:rPr>
              <w:t>.</w:t>
            </w:r>
          </w:p>
          <w:p w14:paraId="3B8569AC" w14:textId="63197E91" w:rsidR="00526794" w:rsidRPr="00BE70B8" w:rsidRDefault="00526794" w:rsidP="00526794">
            <w:pPr>
              <w:tabs>
                <w:tab w:val="left" w:pos="7080"/>
              </w:tabs>
              <w:spacing w:after="80" w:line="240" w:lineRule="exact"/>
              <w:ind w:left="38" w:right="74"/>
              <w:jc w:val="both"/>
              <w:rPr>
                <w:spacing w:val="-2"/>
                <w:sz w:val="18"/>
                <w:szCs w:val="18"/>
              </w:rPr>
            </w:pPr>
          </w:p>
        </w:tc>
      </w:tr>
    </w:tbl>
    <w:p w14:paraId="41D0193C" w14:textId="77777777" w:rsidR="000B7B5B" w:rsidRPr="00427967" w:rsidRDefault="000B7B5B" w:rsidP="007A260F">
      <w:pPr>
        <w:spacing w:after="0" w:line="260" w:lineRule="exact"/>
        <w:jc w:val="right"/>
        <w:rPr>
          <w:rFonts w:eastAsia="Times New Roman" w:cstheme="minorHAnsi"/>
          <w:b/>
          <w:color w:val="FF0000"/>
          <w:sz w:val="19"/>
          <w:szCs w:val="19"/>
        </w:rPr>
      </w:pPr>
    </w:p>
    <w:p w14:paraId="5F645C0D" w14:textId="3F379145" w:rsidR="00A72705" w:rsidRDefault="00A72705" w:rsidP="005563F0">
      <w:pPr>
        <w:pStyle w:val="1"/>
        <w:ind w:left="-567" w:hanging="142"/>
        <w:jc w:val="right"/>
      </w:pPr>
      <w:r>
        <w:rPr>
          <w:rStyle w:val="10"/>
          <w:rFonts w:eastAsia="Times New Roman" w:cs="Calibri"/>
          <w:b/>
          <w:i/>
          <w:color w:val="6691AB"/>
          <w:sz w:val="27"/>
          <w:szCs w:val="27"/>
        </w:rPr>
        <w:lastRenderedPageBreak/>
        <w:t xml:space="preserve">Βασικά </w:t>
      </w:r>
      <w:r w:rsidR="00997D03">
        <w:rPr>
          <w:rStyle w:val="10"/>
          <w:rFonts w:eastAsia="Times New Roman" w:cs="Calibri"/>
          <w:b/>
          <w:i/>
          <w:color w:val="6691AB"/>
          <w:sz w:val="27"/>
          <w:szCs w:val="27"/>
        </w:rPr>
        <w:t>Στοιχεία</w:t>
      </w:r>
      <w:r>
        <w:rPr>
          <w:rStyle w:val="10"/>
          <w:rFonts w:eastAsia="Times New Roman" w:cs="Calibri"/>
          <w:b/>
          <w:i/>
          <w:color w:val="6691AB"/>
          <w:sz w:val="27"/>
          <w:szCs w:val="27"/>
        </w:rPr>
        <w:t xml:space="preserve"> Ισολογισμού: </w:t>
      </w:r>
      <w:r w:rsidR="00997D03">
        <w:rPr>
          <w:rStyle w:val="10"/>
          <w:rFonts w:eastAsia="Times New Roman" w:cs="Calibri"/>
          <w:b/>
          <w:i/>
          <w:color w:val="6691AB"/>
          <w:sz w:val="27"/>
          <w:szCs w:val="27"/>
        </w:rPr>
        <w:t xml:space="preserve">Βελτιωμένα </w:t>
      </w:r>
      <w:r w:rsidR="00EF497F">
        <w:rPr>
          <w:rStyle w:val="10"/>
          <w:rFonts w:eastAsia="Times New Roman" w:cs="Calibri"/>
          <w:b/>
          <w:i/>
          <w:color w:val="6691AB"/>
          <w:sz w:val="27"/>
          <w:szCs w:val="27"/>
        </w:rPr>
        <w:t>Μ</w:t>
      </w:r>
      <w:r w:rsidR="00997D03">
        <w:rPr>
          <w:rStyle w:val="10"/>
          <w:rFonts w:eastAsia="Times New Roman" w:cs="Calibri"/>
          <w:b/>
          <w:i/>
          <w:color w:val="6691AB"/>
          <w:sz w:val="27"/>
          <w:szCs w:val="27"/>
        </w:rPr>
        <w:t>εγέθη</w:t>
      </w:r>
    </w:p>
    <w:tbl>
      <w:tblPr>
        <w:tblStyle w:val="TableGrid1"/>
        <w:tblpPr w:leftFromText="180" w:rightFromText="180" w:vertAnchor="page" w:horzAnchor="margin" w:tblpXSpec="right" w:tblpY="309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090"/>
      </w:tblGrid>
      <w:tr w:rsidR="00117E4D" w:rsidRPr="000A4CC5" w14:paraId="61E2C00E" w14:textId="77777777" w:rsidTr="00526794">
        <w:trPr>
          <w:trHeight w:val="1927"/>
        </w:trPr>
        <w:tc>
          <w:tcPr>
            <w:tcW w:w="1982" w:type="dxa"/>
            <w:tcMar>
              <w:top w:w="57" w:type="dxa"/>
              <w:bottom w:w="57" w:type="dxa"/>
            </w:tcMar>
          </w:tcPr>
          <w:p w14:paraId="282C4BAC" w14:textId="5581CDBD" w:rsidR="00117E4D" w:rsidRPr="00BA29C7" w:rsidRDefault="00DE1DFC" w:rsidP="00DE1DFC">
            <w:pPr>
              <w:tabs>
                <w:tab w:val="left" w:pos="8262"/>
              </w:tabs>
              <w:spacing w:after="60"/>
              <w:ind w:left="32" w:right="74"/>
              <w:contextualSpacing/>
              <w:rPr>
                <w:rFonts w:eastAsiaTheme="minorEastAsia" w:cs="Calibri"/>
                <w:i/>
                <w:color w:val="FF0000"/>
              </w:rPr>
            </w:pPr>
            <w:r>
              <w:rPr>
                <w:rFonts w:eastAsiaTheme="minorEastAsia" w:cs="Calibri"/>
                <w:i/>
                <w:color w:val="6691AB"/>
              </w:rPr>
              <w:t>Αύξηση καταθέσεων</w:t>
            </w:r>
            <w:r w:rsidR="00200B86">
              <w:rPr>
                <w:rFonts w:eastAsiaTheme="minorEastAsia" w:cs="Calibri"/>
                <w:i/>
                <w:color w:val="6691AB"/>
              </w:rPr>
              <w:t xml:space="preserve"> ιδιωτικού τομέα</w:t>
            </w:r>
            <w:r>
              <w:rPr>
                <w:rFonts w:eastAsiaTheme="minorEastAsia" w:cs="Calibri"/>
                <w:i/>
                <w:color w:val="6691AB"/>
              </w:rPr>
              <w:t xml:space="preserve"> </w:t>
            </w:r>
            <w:r w:rsidR="00A53621">
              <w:rPr>
                <w:rFonts w:eastAsiaTheme="minorEastAsia" w:cs="Calibri"/>
                <w:i/>
                <w:color w:val="6691AB"/>
              </w:rPr>
              <w:t>+</w:t>
            </w:r>
            <w:r w:rsidR="006D4779">
              <w:rPr>
                <w:rFonts w:eastAsiaTheme="minorEastAsia" w:cs="Calibri"/>
                <w:i/>
                <w:color w:val="6691AB"/>
              </w:rPr>
              <w:t>10</w:t>
            </w:r>
            <w:r w:rsidR="00BA29C7" w:rsidRPr="00BA29C7">
              <w:rPr>
                <w:rFonts w:eastAsiaTheme="minorEastAsia" w:cs="Calibri"/>
                <w:i/>
                <w:color w:val="6691AB"/>
              </w:rPr>
              <w:t>% ετησίως με χαμηλότερο κόστος</w:t>
            </w:r>
          </w:p>
        </w:tc>
        <w:tc>
          <w:tcPr>
            <w:tcW w:w="7090" w:type="dxa"/>
            <w:tcMar>
              <w:top w:w="57" w:type="dxa"/>
              <w:bottom w:w="57" w:type="dxa"/>
            </w:tcMar>
          </w:tcPr>
          <w:p w14:paraId="465FBD02" w14:textId="6F759EB6" w:rsidR="00117E4D" w:rsidRPr="000A4CC5" w:rsidRDefault="00A53621" w:rsidP="00913DC9">
            <w:pPr>
              <w:tabs>
                <w:tab w:val="left" w:pos="8262"/>
              </w:tabs>
              <w:spacing w:before="40" w:after="40" w:line="252" w:lineRule="auto"/>
              <w:ind w:left="7" w:right="-105"/>
              <w:jc w:val="both"/>
              <w:rPr>
                <w:color w:val="FF0000"/>
                <w:sz w:val="18"/>
                <w:szCs w:val="18"/>
              </w:rPr>
            </w:pPr>
            <w:r w:rsidRPr="00A53621">
              <w:rPr>
                <w:sz w:val="18"/>
                <w:szCs w:val="18"/>
              </w:rPr>
              <w:t xml:space="preserve">Οι καταθέσεις πελατών ανήλθαν σε </w:t>
            </w:r>
            <w:r w:rsidR="00942CEC">
              <w:rPr>
                <w:sz w:val="18"/>
                <w:szCs w:val="18"/>
              </w:rPr>
              <w:t>€</w:t>
            </w:r>
            <w:r w:rsidRPr="00A53621">
              <w:rPr>
                <w:sz w:val="18"/>
                <w:szCs w:val="18"/>
              </w:rPr>
              <w:t xml:space="preserve">49,6 δισ. στο τέλος Δεκεμβρίου 2020, </w:t>
            </w:r>
            <w:r w:rsidR="00200B86">
              <w:rPr>
                <w:sz w:val="18"/>
                <w:szCs w:val="18"/>
              </w:rPr>
              <w:t xml:space="preserve">με </w:t>
            </w:r>
            <w:r w:rsidRPr="00A53621">
              <w:rPr>
                <w:sz w:val="18"/>
                <w:szCs w:val="18"/>
              </w:rPr>
              <w:t xml:space="preserve">αύξηση 5% σε ετήσια βάση. Οι καταθέσεις του ιδιωτικού τομέα αυξήθηκαν κατά </w:t>
            </w:r>
            <w:r w:rsidR="00200B86">
              <w:rPr>
                <w:sz w:val="18"/>
                <w:szCs w:val="18"/>
              </w:rPr>
              <w:t>€</w:t>
            </w:r>
            <w:r w:rsidRPr="00A53621">
              <w:rPr>
                <w:sz w:val="18"/>
                <w:szCs w:val="18"/>
              </w:rPr>
              <w:t xml:space="preserve">5 </w:t>
            </w:r>
            <w:r w:rsidR="009979CE">
              <w:rPr>
                <w:sz w:val="18"/>
                <w:szCs w:val="18"/>
              </w:rPr>
              <w:t>δισ.</w:t>
            </w:r>
            <w:r w:rsidRPr="00A53621">
              <w:rPr>
                <w:sz w:val="18"/>
                <w:szCs w:val="18"/>
              </w:rPr>
              <w:t xml:space="preserve"> το 2020, με βελτίωση σε </w:t>
            </w:r>
            <w:r w:rsidR="00913DC9">
              <w:rPr>
                <w:sz w:val="18"/>
                <w:szCs w:val="18"/>
              </w:rPr>
              <w:t>όλες τις κατηγορίες πελατών</w:t>
            </w:r>
            <w:r w:rsidRPr="00A53621">
              <w:rPr>
                <w:sz w:val="18"/>
                <w:szCs w:val="18"/>
              </w:rPr>
              <w:t xml:space="preserve">. Το κόστος </w:t>
            </w:r>
            <w:r w:rsidR="00200B86">
              <w:rPr>
                <w:sz w:val="18"/>
                <w:szCs w:val="18"/>
              </w:rPr>
              <w:t xml:space="preserve">καταθέσεων </w:t>
            </w:r>
            <w:r>
              <w:rPr>
                <w:sz w:val="18"/>
                <w:szCs w:val="18"/>
              </w:rPr>
              <w:t xml:space="preserve">συνέχισε να μειώνεται </w:t>
            </w:r>
            <w:r w:rsidR="00200B86">
              <w:rPr>
                <w:sz w:val="18"/>
                <w:szCs w:val="18"/>
              </w:rPr>
              <w:t xml:space="preserve">και διαμορφώθηκε </w:t>
            </w:r>
            <w:r>
              <w:rPr>
                <w:sz w:val="18"/>
                <w:szCs w:val="18"/>
              </w:rPr>
              <w:t>στις 1</w:t>
            </w:r>
            <w:r w:rsidR="00913DC9">
              <w:rPr>
                <w:sz w:val="18"/>
                <w:szCs w:val="18"/>
              </w:rPr>
              <w:t>2</w:t>
            </w:r>
            <w:r>
              <w:rPr>
                <w:sz w:val="18"/>
                <w:szCs w:val="18"/>
              </w:rPr>
              <w:t xml:space="preserve"> </w:t>
            </w:r>
            <w:r w:rsidR="00200B86">
              <w:rPr>
                <w:sz w:val="18"/>
                <w:szCs w:val="18"/>
              </w:rPr>
              <w:t>μ</w:t>
            </w:r>
            <w:r>
              <w:rPr>
                <w:sz w:val="18"/>
                <w:szCs w:val="18"/>
              </w:rPr>
              <w:t>ονάδες βάσης το 4ο τρίμηνο του 2020</w:t>
            </w:r>
            <w:r w:rsidRPr="00A53621">
              <w:rPr>
                <w:sz w:val="18"/>
                <w:szCs w:val="18"/>
              </w:rPr>
              <w:t xml:space="preserve"> έναντι 15</w:t>
            </w:r>
            <w:r>
              <w:rPr>
                <w:sz w:val="18"/>
                <w:szCs w:val="18"/>
              </w:rPr>
              <w:t xml:space="preserve"> μονάδων βάσης </w:t>
            </w:r>
            <w:r w:rsidRPr="00A53621">
              <w:rPr>
                <w:sz w:val="18"/>
                <w:szCs w:val="18"/>
              </w:rPr>
              <w:t xml:space="preserve">το </w:t>
            </w:r>
            <w:r>
              <w:rPr>
                <w:sz w:val="18"/>
                <w:szCs w:val="18"/>
              </w:rPr>
              <w:t>3</w:t>
            </w:r>
            <w:r w:rsidR="00200B86">
              <w:rPr>
                <w:sz w:val="18"/>
                <w:szCs w:val="18"/>
              </w:rPr>
              <w:t>ο</w:t>
            </w:r>
            <w:r>
              <w:rPr>
                <w:sz w:val="18"/>
                <w:szCs w:val="18"/>
              </w:rPr>
              <w:t xml:space="preserve"> </w:t>
            </w:r>
            <w:r w:rsidRPr="00A53621">
              <w:rPr>
                <w:sz w:val="18"/>
                <w:szCs w:val="18"/>
              </w:rPr>
              <w:t>τρίμηνο του 20</w:t>
            </w:r>
            <w:r w:rsidR="00200B86">
              <w:rPr>
                <w:sz w:val="18"/>
                <w:szCs w:val="18"/>
              </w:rPr>
              <w:t>20</w:t>
            </w:r>
            <w:r w:rsidRPr="00A53621">
              <w:rPr>
                <w:sz w:val="18"/>
                <w:szCs w:val="18"/>
              </w:rPr>
              <w:t xml:space="preserve"> και 33</w:t>
            </w:r>
            <w:r w:rsidR="00200B86">
              <w:rPr>
                <w:sz w:val="18"/>
                <w:szCs w:val="18"/>
              </w:rPr>
              <w:t xml:space="preserve"> μονάδων βάσης</w:t>
            </w:r>
            <w:r w:rsidRPr="00A53621">
              <w:rPr>
                <w:sz w:val="18"/>
                <w:szCs w:val="18"/>
              </w:rPr>
              <w:t xml:space="preserve"> το 4ο τρίμηνο του 2019. Η σημαντική βελτίωση της ρευστότητας έχει καταστήσει</w:t>
            </w:r>
            <w:r>
              <w:rPr>
                <w:sz w:val="18"/>
                <w:szCs w:val="18"/>
              </w:rPr>
              <w:t xml:space="preserve"> τον Όμιλο περισσότερο </w:t>
            </w:r>
            <w:r w:rsidR="00AC2977">
              <w:rPr>
                <w:sz w:val="18"/>
                <w:szCs w:val="18"/>
              </w:rPr>
              <w:t>επικεντρωμένο</w:t>
            </w:r>
            <w:r>
              <w:rPr>
                <w:sz w:val="18"/>
                <w:szCs w:val="18"/>
              </w:rPr>
              <w:t xml:space="preserve"> </w:t>
            </w:r>
            <w:r w:rsidR="00200B86">
              <w:rPr>
                <w:sz w:val="18"/>
                <w:szCs w:val="18"/>
              </w:rPr>
              <w:t xml:space="preserve">στη διαχείριση του κόστους </w:t>
            </w:r>
            <w:r w:rsidRPr="00A53621">
              <w:rPr>
                <w:sz w:val="18"/>
                <w:szCs w:val="18"/>
              </w:rPr>
              <w:t xml:space="preserve">τα τελευταία τρίμηνα, στην προσπάθειά του να επιτύχει ισορροπία μεταξύ προσέλκυσης καταθέσεων και μείωσης των </w:t>
            </w:r>
            <w:proofErr w:type="spellStart"/>
            <w:r>
              <w:rPr>
                <w:sz w:val="18"/>
                <w:szCs w:val="18"/>
              </w:rPr>
              <w:t>επιτοκιακών</w:t>
            </w:r>
            <w:proofErr w:type="spellEnd"/>
            <w:r>
              <w:rPr>
                <w:sz w:val="18"/>
                <w:szCs w:val="18"/>
              </w:rPr>
              <w:t xml:space="preserve"> </w:t>
            </w:r>
            <w:r w:rsidRPr="00A53621">
              <w:rPr>
                <w:sz w:val="18"/>
                <w:szCs w:val="18"/>
              </w:rPr>
              <w:t>εξόδων.</w:t>
            </w:r>
          </w:p>
        </w:tc>
      </w:tr>
      <w:tr w:rsidR="00117E4D" w:rsidRPr="000E3A57" w14:paraId="2792B776" w14:textId="77777777" w:rsidTr="00526794">
        <w:trPr>
          <w:trHeight w:val="1929"/>
        </w:trPr>
        <w:tc>
          <w:tcPr>
            <w:tcW w:w="1982" w:type="dxa"/>
            <w:shd w:val="clear" w:color="auto" w:fill="auto"/>
            <w:tcMar>
              <w:top w:w="57" w:type="dxa"/>
              <w:bottom w:w="57" w:type="dxa"/>
            </w:tcMar>
          </w:tcPr>
          <w:p w14:paraId="52EEBA1E" w14:textId="77777777" w:rsidR="00117E4D" w:rsidRPr="000E3A57" w:rsidRDefault="00F626B9" w:rsidP="00DE1DFC">
            <w:pPr>
              <w:tabs>
                <w:tab w:val="left" w:pos="8262"/>
              </w:tabs>
              <w:spacing w:after="60"/>
              <w:ind w:left="32" w:right="74"/>
              <w:contextualSpacing/>
              <w:rPr>
                <w:rFonts w:cs="Calibri"/>
                <w:i/>
                <w:color w:val="FF0000"/>
              </w:rPr>
            </w:pPr>
            <w:r>
              <w:rPr>
                <w:rFonts w:eastAsiaTheme="minorEastAsia" w:cs="Calibri"/>
                <w:i/>
                <w:color w:val="6691AB"/>
              </w:rPr>
              <w:t>Ισχυρό</w:t>
            </w:r>
            <w:r w:rsidR="000E3A57" w:rsidRPr="000E3A57">
              <w:rPr>
                <w:rFonts w:eastAsiaTheme="minorEastAsia" w:cs="Calibri"/>
                <w:i/>
                <w:color w:val="6691AB"/>
              </w:rPr>
              <w:t xml:space="preserve"> προφίλ ρευστότητας </w:t>
            </w:r>
            <w:r w:rsidR="00DE1DFC">
              <w:rPr>
                <w:rFonts w:eastAsiaTheme="minorEastAsia" w:cs="Calibri"/>
                <w:i/>
                <w:color w:val="6691AB"/>
              </w:rPr>
              <w:t>και χρηματοδότησης</w:t>
            </w:r>
          </w:p>
        </w:tc>
        <w:tc>
          <w:tcPr>
            <w:tcW w:w="7090" w:type="dxa"/>
            <w:tcMar>
              <w:top w:w="57" w:type="dxa"/>
              <w:bottom w:w="57" w:type="dxa"/>
            </w:tcMar>
          </w:tcPr>
          <w:p w14:paraId="2B66F35B" w14:textId="09050BC1" w:rsidR="00117E4D" w:rsidRPr="00BF551D" w:rsidRDefault="00E21A09" w:rsidP="00E869E0">
            <w:pPr>
              <w:tabs>
                <w:tab w:val="left" w:pos="8262"/>
              </w:tabs>
              <w:spacing w:before="40" w:after="40" w:line="252" w:lineRule="auto"/>
              <w:ind w:left="7" w:right="-105"/>
              <w:jc w:val="both"/>
              <w:rPr>
                <w:color w:val="FF0000"/>
                <w:sz w:val="18"/>
                <w:szCs w:val="18"/>
              </w:rPr>
            </w:pPr>
            <w:r>
              <w:rPr>
                <w:sz w:val="18"/>
                <w:szCs w:val="18"/>
              </w:rPr>
              <w:t xml:space="preserve">Η χρηματοδότηση από το  </w:t>
            </w:r>
            <w:proofErr w:type="spellStart"/>
            <w:r>
              <w:rPr>
                <w:sz w:val="18"/>
                <w:szCs w:val="18"/>
              </w:rPr>
              <w:t>Ευρωσύστημα</w:t>
            </w:r>
            <w:proofErr w:type="spellEnd"/>
            <w:r w:rsidRPr="00E21A09">
              <w:rPr>
                <w:sz w:val="18"/>
                <w:szCs w:val="18"/>
              </w:rPr>
              <w:t xml:space="preserve"> αυξήθηκε σε </w:t>
            </w:r>
            <w:r w:rsidR="00200B86">
              <w:rPr>
                <w:sz w:val="18"/>
                <w:szCs w:val="18"/>
              </w:rPr>
              <w:t>€</w:t>
            </w:r>
            <w:r w:rsidRPr="00E21A09">
              <w:rPr>
                <w:sz w:val="18"/>
                <w:szCs w:val="18"/>
              </w:rPr>
              <w:t xml:space="preserve">11 </w:t>
            </w:r>
            <w:r w:rsidR="009979CE">
              <w:rPr>
                <w:sz w:val="18"/>
                <w:szCs w:val="18"/>
              </w:rPr>
              <w:t>δισ.</w:t>
            </w:r>
            <w:r w:rsidRPr="00E21A09">
              <w:rPr>
                <w:sz w:val="18"/>
                <w:szCs w:val="18"/>
              </w:rPr>
              <w:t xml:space="preserve"> τον Δεκέμβριο του 2020 από </w:t>
            </w:r>
            <w:r w:rsidR="00200B86">
              <w:rPr>
                <w:sz w:val="18"/>
                <w:szCs w:val="18"/>
              </w:rPr>
              <w:t>€</w:t>
            </w:r>
            <w:r w:rsidRPr="00E21A09">
              <w:rPr>
                <w:sz w:val="18"/>
                <w:szCs w:val="18"/>
              </w:rPr>
              <w:t xml:space="preserve">0,4 δισ. </w:t>
            </w:r>
            <w:r w:rsidR="00200B86">
              <w:rPr>
                <w:sz w:val="18"/>
                <w:szCs w:val="18"/>
              </w:rPr>
              <w:t>τον Δ</w:t>
            </w:r>
            <w:r w:rsidRPr="00E21A09">
              <w:rPr>
                <w:sz w:val="18"/>
                <w:szCs w:val="18"/>
              </w:rPr>
              <w:t>εκ</w:t>
            </w:r>
            <w:r w:rsidR="00200B86">
              <w:rPr>
                <w:sz w:val="18"/>
                <w:szCs w:val="18"/>
              </w:rPr>
              <w:t>έ</w:t>
            </w:r>
            <w:r w:rsidRPr="00E21A09">
              <w:rPr>
                <w:sz w:val="18"/>
                <w:szCs w:val="18"/>
              </w:rPr>
              <w:t>μβρ</w:t>
            </w:r>
            <w:r w:rsidR="00200B86">
              <w:rPr>
                <w:sz w:val="18"/>
                <w:szCs w:val="18"/>
              </w:rPr>
              <w:t>ιο</w:t>
            </w:r>
            <w:r w:rsidRPr="00E21A09">
              <w:rPr>
                <w:sz w:val="18"/>
                <w:szCs w:val="18"/>
              </w:rPr>
              <w:t xml:space="preserve"> 2019, μέσω της αξιοποίησης της χρηματοδότησης των πράξεων </w:t>
            </w:r>
            <w:proofErr w:type="spellStart"/>
            <w:r w:rsidR="00200B86">
              <w:rPr>
                <w:sz w:val="18"/>
                <w:szCs w:val="18"/>
              </w:rPr>
              <w:t>στοχευμένης</w:t>
            </w:r>
            <w:proofErr w:type="spellEnd"/>
            <w:r w:rsidR="00200B86">
              <w:rPr>
                <w:sz w:val="18"/>
                <w:szCs w:val="18"/>
              </w:rPr>
              <w:t xml:space="preserve"> </w:t>
            </w:r>
            <w:r w:rsidRPr="00E21A09">
              <w:rPr>
                <w:sz w:val="18"/>
                <w:szCs w:val="18"/>
              </w:rPr>
              <w:t xml:space="preserve">μακροπρόθεσμης </w:t>
            </w:r>
            <w:proofErr w:type="spellStart"/>
            <w:r w:rsidRPr="00E21A09">
              <w:rPr>
                <w:sz w:val="18"/>
                <w:szCs w:val="18"/>
              </w:rPr>
              <w:t>αναχρηματοδότησης</w:t>
            </w:r>
            <w:proofErr w:type="spellEnd"/>
            <w:r w:rsidRPr="00E21A09">
              <w:rPr>
                <w:sz w:val="18"/>
                <w:szCs w:val="18"/>
              </w:rPr>
              <w:t xml:space="preserve"> της ΕΚΤ (TLTRO</w:t>
            </w:r>
            <w:r w:rsidR="00E869E0" w:rsidRPr="00E869E0">
              <w:rPr>
                <w:sz w:val="18"/>
                <w:szCs w:val="18"/>
              </w:rPr>
              <w:t xml:space="preserve"> </w:t>
            </w:r>
            <w:r w:rsidR="00E869E0">
              <w:rPr>
                <w:sz w:val="18"/>
                <w:szCs w:val="18"/>
                <w:lang w:val="en-US"/>
              </w:rPr>
              <w:t>III</w:t>
            </w:r>
            <w:r w:rsidRPr="00E21A09">
              <w:rPr>
                <w:sz w:val="18"/>
                <w:szCs w:val="18"/>
              </w:rPr>
              <w:t xml:space="preserve">). Η χρήση της διατραπεζικής αγοράς </w:t>
            </w:r>
            <w:proofErr w:type="spellStart"/>
            <w:r w:rsidRPr="00E21A09">
              <w:rPr>
                <w:sz w:val="18"/>
                <w:szCs w:val="18"/>
              </w:rPr>
              <w:t>repo</w:t>
            </w:r>
            <w:proofErr w:type="spellEnd"/>
            <w:r w:rsidRPr="00E21A09">
              <w:rPr>
                <w:sz w:val="18"/>
                <w:szCs w:val="18"/>
              </w:rPr>
              <w:t xml:space="preserve"> ήταν </w:t>
            </w:r>
            <w:r w:rsidR="00200B86">
              <w:rPr>
                <w:sz w:val="18"/>
                <w:szCs w:val="18"/>
              </w:rPr>
              <w:t>€</w:t>
            </w:r>
            <w:r w:rsidRPr="00E21A09">
              <w:rPr>
                <w:sz w:val="18"/>
                <w:szCs w:val="18"/>
              </w:rPr>
              <w:t xml:space="preserve">0,1 </w:t>
            </w:r>
            <w:r w:rsidR="00AC2977" w:rsidRPr="00E21A09">
              <w:rPr>
                <w:sz w:val="18"/>
                <w:szCs w:val="18"/>
              </w:rPr>
              <w:t>δισ.</w:t>
            </w:r>
            <w:r w:rsidRPr="00E21A09">
              <w:rPr>
                <w:sz w:val="18"/>
                <w:szCs w:val="18"/>
              </w:rPr>
              <w:t xml:space="preserve"> στα τέλη Δεκεμβρίου 2020. Η Τράπεζα Πειραιώς βελτίωσε περαιτέρω το </w:t>
            </w:r>
            <w:r w:rsidR="00200B86">
              <w:rPr>
                <w:sz w:val="18"/>
                <w:szCs w:val="18"/>
              </w:rPr>
              <w:t>δείκτη</w:t>
            </w:r>
            <w:r w:rsidRPr="00E21A09">
              <w:rPr>
                <w:sz w:val="18"/>
                <w:szCs w:val="18"/>
              </w:rPr>
              <w:t xml:space="preserve"> κάλυψης ρευστότητας (LCR) στο επίπεδο του 175% στα τέλη Δεκεμβρίου 2020. </w:t>
            </w:r>
            <w:r>
              <w:rPr>
                <w:sz w:val="18"/>
                <w:szCs w:val="18"/>
              </w:rPr>
              <w:t xml:space="preserve">Ο δείκτης </w:t>
            </w:r>
            <w:r w:rsidR="00AC2977">
              <w:rPr>
                <w:sz w:val="18"/>
                <w:szCs w:val="18"/>
              </w:rPr>
              <w:t>καθαρών</w:t>
            </w:r>
            <w:r>
              <w:rPr>
                <w:sz w:val="18"/>
                <w:szCs w:val="18"/>
              </w:rPr>
              <w:t xml:space="preserve"> δανείων προς τις καταθέσεις του </w:t>
            </w:r>
            <w:r w:rsidRPr="00E21A09">
              <w:rPr>
                <w:sz w:val="18"/>
                <w:szCs w:val="18"/>
              </w:rPr>
              <w:t>Ομίλου βελτιώθηκε περαιτέρω στο 77% έναντι 79% τον προηγούμενο χρόνο.</w:t>
            </w:r>
          </w:p>
        </w:tc>
      </w:tr>
      <w:tr w:rsidR="00117E4D" w:rsidRPr="0081352E" w14:paraId="602CBD6E" w14:textId="77777777" w:rsidTr="00526794">
        <w:trPr>
          <w:trHeight w:val="251"/>
        </w:trPr>
        <w:tc>
          <w:tcPr>
            <w:tcW w:w="1982" w:type="dxa"/>
            <w:tcMar>
              <w:top w:w="57" w:type="dxa"/>
              <w:bottom w:w="57" w:type="dxa"/>
            </w:tcMar>
          </w:tcPr>
          <w:p w14:paraId="4294F5B2" w14:textId="77777777" w:rsidR="00117E4D" w:rsidRPr="00F37490" w:rsidRDefault="008D68E4" w:rsidP="00200B86">
            <w:pPr>
              <w:tabs>
                <w:tab w:val="left" w:pos="8262"/>
              </w:tabs>
              <w:spacing w:after="60"/>
              <w:ind w:left="32" w:right="74"/>
              <w:contextualSpacing/>
              <w:rPr>
                <w:rFonts w:cs="Calibri"/>
                <w:i/>
                <w:color w:val="FF0000"/>
                <w:spacing w:val="-14"/>
              </w:rPr>
            </w:pPr>
            <w:r w:rsidRPr="00200B86">
              <w:rPr>
                <w:rFonts w:eastAsiaTheme="minorEastAsia" w:cs="Calibri"/>
                <w:i/>
                <w:color w:val="6691AB"/>
              </w:rPr>
              <w:t>Τα εξυπηρετούμενα δάνεια αυξήθηκαν</w:t>
            </w:r>
            <w:r w:rsidR="00F37490" w:rsidRPr="00200B86">
              <w:rPr>
                <w:rFonts w:eastAsiaTheme="minorEastAsia" w:cs="Calibri"/>
                <w:i/>
                <w:color w:val="6691AB"/>
              </w:rPr>
              <w:t xml:space="preserve"> </w:t>
            </w:r>
            <w:r w:rsidR="00584DCF" w:rsidRPr="00200B86">
              <w:rPr>
                <w:rFonts w:eastAsiaTheme="minorEastAsia" w:cs="Calibri"/>
                <w:i/>
                <w:color w:val="6691AB"/>
              </w:rPr>
              <w:t xml:space="preserve"> 6% </w:t>
            </w:r>
            <w:r w:rsidR="00DE1DFC" w:rsidRPr="00200B86">
              <w:rPr>
                <w:rFonts w:eastAsiaTheme="minorEastAsia" w:cs="Calibri"/>
                <w:i/>
                <w:color w:val="6691AB"/>
              </w:rPr>
              <w:t>σε ετήσια βάση</w:t>
            </w:r>
          </w:p>
        </w:tc>
        <w:tc>
          <w:tcPr>
            <w:tcW w:w="7090" w:type="dxa"/>
            <w:tcMar>
              <w:top w:w="57" w:type="dxa"/>
              <w:bottom w:w="57" w:type="dxa"/>
            </w:tcMar>
          </w:tcPr>
          <w:p w14:paraId="67A2809C" w14:textId="5CE6F588" w:rsidR="0081352E" w:rsidRPr="0081352E" w:rsidRDefault="00326B3A" w:rsidP="00913DC9">
            <w:pPr>
              <w:tabs>
                <w:tab w:val="left" w:pos="8262"/>
              </w:tabs>
              <w:spacing w:before="40" w:after="40" w:line="252" w:lineRule="auto"/>
              <w:ind w:left="7" w:right="-105"/>
              <w:jc w:val="both"/>
              <w:rPr>
                <w:color w:val="FF0000"/>
                <w:sz w:val="18"/>
                <w:szCs w:val="18"/>
              </w:rPr>
            </w:pPr>
            <w:r>
              <w:rPr>
                <w:sz w:val="18"/>
                <w:szCs w:val="18"/>
              </w:rPr>
              <w:t xml:space="preserve">Τα </w:t>
            </w:r>
            <w:r w:rsidRPr="00326B3A">
              <w:rPr>
                <w:sz w:val="18"/>
                <w:szCs w:val="18"/>
              </w:rPr>
              <w:t xml:space="preserve">δάνεια </w:t>
            </w:r>
            <w:r>
              <w:rPr>
                <w:sz w:val="18"/>
                <w:szCs w:val="18"/>
              </w:rPr>
              <w:t xml:space="preserve">προ προβλέψεων και </w:t>
            </w:r>
            <w:proofErr w:type="spellStart"/>
            <w:r>
              <w:rPr>
                <w:sz w:val="18"/>
                <w:szCs w:val="18"/>
              </w:rPr>
              <w:t>απομειώσεων</w:t>
            </w:r>
            <w:proofErr w:type="spellEnd"/>
            <w:r>
              <w:rPr>
                <w:sz w:val="18"/>
                <w:szCs w:val="18"/>
              </w:rPr>
              <w:t xml:space="preserve"> ανήλθαν</w:t>
            </w:r>
            <w:r w:rsidRPr="00326B3A">
              <w:rPr>
                <w:sz w:val="18"/>
                <w:szCs w:val="18"/>
              </w:rPr>
              <w:t xml:space="preserve"> σε </w:t>
            </w:r>
            <w:r w:rsidR="00200B86">
              <w:rPr>
                <w:sz w:val="18"/>
                <w:szCs w:val="18"/>
              </w:rPr>
              <w:t>€</w:t>
            </w:r>
            <w:r w:rsidRPr="00326B3A">
              <w:rPr>
                <w:sz w:val="18"/>
                <w:szCs w:val="18"/>
              </w:rPr>
              <w:t xml:space="preserve">49,5 </w:t>
            </w:r>
            <w:r w:rsidR="009979CE">
              <w:rPr>
                <w:sz w:val="18"/>
                <w:szCs w:val="18"/>
              </w:rPr>
              <w:t>δισ.</w:t>
            </w:r>
            <w:r w:rsidRPr="00326B3A">
              <w:rPr>
                <w:sz w:val="18"/>
                <w:szCs w:val="18"/>
              </w:rPr>
              <w:t xml:space="preserve"> στο τέλος Δεκεμβρίου 2020, ενώ τα καθαρά δάνεια ανήλθαν σε </w:t>
            </w:r>
            <w:r w:rsidR="00200B86">
              <w:rPr>
                <w:sz w:val="18"/>
                <w:szCs w:val="18"/>
              </w:rPr>
              <w:t>€</w:t>
            </w:r>
            <w:r w:rsidRPr="00326B3A">
              <w:rPr>
                <w:sz w:val="18"/>
                <w:szCs w:val="18"/>
              </w:rPr>
              <w:t xml:space="preserve">39,6 δισ. Το </w:t>
            </w:r>
            <w:r w:rsidR="00200B86">
              <w:rPr>
                <w:sz w:val="18"/>
                <w:szCs w:val="18"/>
              </w:rPr>
              <w:t xml:space="preserve">χαρτοφυλάκιο </w:t>
            </w:r>
            <w:r>
              <w:rPr>
                <w:sz w:val="18"/>
                <w:szCs w:val="18"/>
              </w:rPr>
              <w:t xml:space="preserve">των </w:t>
            </w:r>
            <w:r w:rsidRPr="00326B3A">
              <w:rPr>
                <w:sz w:val="18"/>
                <w:szCs w:val="18"/>
              </w:rPr>
              <w:t xml:space="preserve">εγχώριων </w:t>
            </w:r>
            <w:r w:rsidR="00584DCF">
              <w:rPr>
                <w:sz w:val="18"/>
                <w:szCs w:val="18"/>
              </w:rPr>
              <w:t>εξ</w:t>
            </w:r>
            <w:r>
              <w:rPr>
                <w:sz w:val="18"/>
                <w:szCs w:val="18"/>
              </w:rPr>
              <w:t xml:space="preserve">υπηρετούμενων δανείων </w:t>
            </w:r>
            <w:r w:rsidRPr="00326B3A">
              <w:rPr>
                <w:sz w:val="18"/>
                <w:szCs w:val="18"/>
              </w:rPr>
              <w:t xml:space="preserve">της Τράπεζας αυξήθηκε κατά </w:t>
            </w:r>
            <w:r w:rsidR="00200B86">
              <w:rPr>
                <w:sz w:val="18"/>
                <w:szCs w:val="18"/>
              </w:rPr>
              <w:t>€</w:t>
            </w:r>
            <w:r w:rsidRPr="00326B3A">
              <w:rPr>
                <w:sz w:val="18"/>
                <w:szCs w:val="18"/>
              </w:rPr>
              <w:t xml:space="preserve">1,5 </w:t>
            </w:r>
            <w:r w:rsidR="009979CE">
              <w:rPr>
                <w:sz w:val="18"/>
                <w:szCs w:val="18"/>
              </w:rPr>
              <w:t>δισ.</w:t>
            </w:r>
            <w:r w:rsidRPr="00326B3A">
              <w:rPr>
                <w:sz w:val="18"/>
                <w:szCs w:val="18"/>
              </w:rPr>
              <w:t xml:space="preserve"> τ</w:t>
            </w:r>
            <w:r>
              <w:rPr>
                <w:sz w:val="18"/>
                <w:szCs w:val="18"/>
              </w:rPr>
              <w:t xml:space="preserve">ο 2020, με τον </w:t>
            </w:r>
            <w:r w:rsidRPr="00326B3A">
              <w:rPr>
                <w:sz w:val="18"/>
                <w:szCs w:val="18"/>
              </w:rPr>
              <w:t xml:space="preserve">δανεισμό </w:t>
            </w:r>
            <w:r>
              <w:rPr>
                <w:sz w:val="18"/>
                <w:szCs w:val="18"/>
              </w:rPr>
              <w:t xml:space="preserve">προς τις επιχειρήσεις </w:t>
            </w:r>
            <w:r w:rsidRPr="00326B3A">
              <w:rPr>
                <w:sz w:val="18"/>
                <w:szCs w:val="18"/>
              </w:rPr>
              <w:t xml:space="preserve">να οδηγεί την τάση. Οι εκταμιεύσεις </w:t>
            </w:r>
            <w:r w:rsidR="00200B86">
              <w:rPr>
                <w:sz w:val="18"/>
                <w:szCs w:val="18"/>
              </w:rPr>
              <w:t xml:space="preserve">νέων </w:t>
            </w:r>
            <w:r w:rsidRPr="00326B3A">
              <w:rPr>
                <w:sz w:val="18"/>
                <w:szCs w:val="18"/>
              </w:rPr>
              <w:t xml:space="preserve">δανείων ανήλθαν σε </w:t>
            </w:r>
            <w:r w:rsidR="00200B86">
              <w:rPr>
                <w:sz w:val="18"/>
                <w:szCs w:val="18"/>
              </w:rPr>
              <w:t>€</w:t>
            </w:r>
            <w:r w:rsidRPr="00326B3A">
              <w:rPr>
                <w:sz w:val="18"/>
                <w:szCs w:val="18"/>
              </w:rPr>
              <w:t xml:space="preserve">6,3 </w:t>
            </w:r>
            <w:r w:rsidR="009979CE">
              <w:rPr>
                <w:sz w:val="18"/>
                <w:szCs w:val="18"/>
              </w:rPr>
              <w:t>δισ.</w:t>
            </w:r>
            <w:r w:rsidRPr="00326B3A">
              <w:rPr>
                <w:sz w:val="18"/>
                <w:szCs w:val="18"/>
              </w:rPr>
              <w:t xml:space="preserve"> το 2020, από </w:t>
            </w:r>
            <w:r w:rsidR="00200B86">
              <w:rPr>
                <w:sz w:val="18"/>
                <w:szCs w:val="18"/>
              </w:rPr>
              <w:t>€3,9</w:t>
            </w:r>
            <w:r w:rsidRPr="00326B3A">
              <w:rPr>
                <w:sz w:val="18"/>
                <w:szCs w:val="18"/>
              </w:rPr>
              <w:t xml:space="preserve"> </w:t>
            </w:r>
            <w:r w:rsidR="009979CE">
              <w:rPr>
                <w:sz w:val="18"/>
                <w:szCs w:val="18"/>
              </w:rPr>
              <w:t>δισ.</w:t>
            </w:r>
            <w:r w:rsidRPr="00326B3A">
              <w:rPr>
                <w:sz w:val="18"/>
                <w:szCs w:val="18"/>
              </w:rPr>
              <w:t xml:space="preserve"> το 2019. </w:t>
            </w:r>
            <w:r w:rsidR="00200B86">
              <w:rPr>
                <w:sz w:val="18"/>
                <w:szCs w:val="18"/>
              </w:rPr>
              <w:t xml:space="preserve">Η αξιοποίηση των </w:t>
            </w:r>
            <w:r w:rsidRPr="00326B3A">
              <w:rPr>
                <w:sz w:val="18"/>
                <w:szCs w:val="18"/>
              </w:rPr>
              <w:t>κρατικ</w:t>
            </w:r>
            <w:r w:rsidR="00200B86">
              <w:rPr>
                <w:sz w:val="18"/>
                <w:szCs w:val="18"/>
              </w:rPr>
              <w:t>ών</w:t>
            </w:r>
            <w:r w:rsidRPr="00326B3A">
              <w:rPr>
                <w:sz w:val="18"/>
                <w:szCs w:val="18"/>
              </w:rPr>
              <w:t xml:space="preserve"> </w:t>
            </w:r>
            <w:r w:rsidR="00200B86">
              <w:rPr>
                <w:sz w:val="18"/>
                <w:szCs w:val="18"/>
              </w:rPr>
              <w:t xml:space="preserve">προγραμμάτων </w:t>
            </w:r>
            <w:r w:rsidRPr="00326B3A">
              <w:rPr>
                <w:sz w:val="18"/>
                <w:szCs w:val="18"/>
              </w:rPr>
              <w:t xml:space="preserve">στήριξης </w:t>
            </w:r>
            <w:r w:rsidR="00200B86">
              <w:rPr>
                <w:sz w:val="18"/>
                <w:szCs w:val="18"/>
              </w:rPr>
              <w:t xml:space="preserve"> πελατών ανήλθε </w:t>
            </w:r>
            <w:r w:rsidRPr="00326B3A">
              <w:rPr>
                <w:sz w:val="18"/>
                <w:szCs w:val="18"/>
              </w:rPr>
              <w:t xml:space="preserve">σε </w:t>
            </w:r>
            <w:r w:rsidR="00200B86">
              <w:rPr>
                <w:sz w:val="18"/>
                <w:szCs w:val="18"/>
              </w:rPr>
              <w:t>€</w:t>
            </w:r>
            <w:r w:rsidRPr="00326B3A">
              <w:rPr>
                <w:sz w:val="18"/>
                <w:szCs w:val="18"/>
              </w:rPr>
              <w:t xml:space="preserve">1,7 </w:t>
            </w:r>
            <w:r w:rsidR="009979CE">
              <w:rPr>
                <w:sz w:val="18"/>
                <w:szCs w:val="18"/>
              </w:rPr>
              <w:t>δισ.</w:t>
            </w:r>
            <w:r w:rsidRPr="00326B3A">
              <w:rPr>
                <w:sz w:val="18"/>
                <w:szCs w:val="18"/>
              </w:rPr>
              <w:t xml:space="preserve">, </w:t>
            </w:r>
            <w:r w:rsidR="00200B86">
              <w:rPr>
                <w:sz w:val="18"/>
                <w:szCs w:val="18"/>
              </w:rPr>
              <w:t xml:space="preserve">καθώς </w:t>
            </w:r>
            <w:r w:rsidRPr="00326B3A">
              <w:rPr>
                <w:sz w:val="18"/>
                <w:szCs w:val="18"/>
              </w:rPr>
              <w:t>ο Όμιλος συμμετ</w:t>
            </w:r>
            <w:r w:rsidR="00200B86">
              <w:rPr>
                <w:sz w:val="18"/>
                <w:szCs w:val="18"/>
              </w:rPr>
              <w:t>εί</w:t>
            </w:r>
            <w:r w:rsidRPr="00326B3A">
              <w:rPr>
                <w:sz w:val="18"/>
                <w:szCs w:val="18"/>
              </w:rPr>
              <w:t xml:space="preserve">χε ενεργά στην </w:t>
            </w:r>
            <w:r w:rsidR="00200B86">
              <w:rPr>
                <w:sz w:val="18"/>
                <w:szCs w:val="18"/>
              </w:rPr>
              <w:t xml:space="preserve">υλοποίηση </w:t>
            </w:r>
            <w:r w:rsidRPr="00326B3A">
              <w:rPr>
                <w:sz w:val="18"/>
                <w:szCs w:val="18"/>
              </w:rPr>
              <w:t xml:space="preserve">προγραμμάτων χρηματοδότησης </w:t>
            </w:r>
            <w:r w:rsidR="00200B86">
              <w:rPr>
                <w:sz w:val="18"/>
                <w:szCs w:val="18"/>
              </w:rPr>
              <w:t xml:space="preserve">εκ μέρους </w:t>
            </w:r>
            <w:r w:rsidRPr="00326B3A">
              <w:rPr>
                <w:sz w:val="18"/>
                <w:szCs w:val="18"/>
              </w:rPr>
              <w:t xml:space="preserve">του ελληνικού κράτους μέσω της παροχής εγγυήσεων και </w:t>
            </w:r>
            <w:r w:rsidR="00200B86">
              <w:rPr>
                <w:sz w:val="18"/>
                <w:szCs w:val="18"/>
              </w:rPr>
              <w:t xml:space="preserve">με </w:t>
            </w:r>
            <w:r w:rsidRPr="00326B3A">
              <w:rPr>
                <w:sz w:val="18"/>
                <w:szCs w:val="18"/>
              </w:rPr>
              <w:t xml:space="preserve">επιδοτήσεις επιτοκίου. Στο πλαίσιο του </w:t>
            </w:r>
            <w:proofErr w:type="spellStart"/>
            <w:r w:rsidRPr="00326B3A">
              <w:rPr>
                <w:sz w:val="18"/>
                <w:szCs w:val="18"/>
              </w:rPr>
              <w:t>υποπρογράμματος</w:t>
            </w:r>
            <w:proofErr w:type="spellEnd"/>
            <w:r w:rsidRPr="00326B3A">
              <w:rPr>
                <w:sz w:val="18"/>
                <w:szCs w:val="18"/>
              </w:rPr>
              <w:t xml:space="preserve"> της Ελληνικής </w:t>
            </w:r>
            <w:r w:rsidR="00DE1DFC">
              <w:rPr>
                <w:sz w:val="18"/>
                <w:szCs w:val="18"/>
              </w:rPr>
              <w:t>Αναπτυξιακής Τράπεζας</w:t>
            </w:r>
            <w:r w:rsidRPr="00326B3A">
              <w:rPr>
                <w:sz w:val="18"/>
                <w:szCs w:val="18"/>
              </w:rPr>
              <w:t xml:space="preserve"> «Ταμείο Εγγυήσεων για το Covid-19» με στόχο τη διευκόλυνση των ΜΜΕ και των εταιρειών με κεφάλαιο κίνησης,</w:t>
            </w:r>
            <w:r w:rsidR="00584DCF">
              <w:rPr>
                <w:sz w:val="18"/>
                <w:szCs w:val="18"/>
              </w:rPr>
              <w:t xml:space="preserve"> ποσό της τάξης του </w:t>
            </w:r>
            <w:r w:rsidR="00200B86">
              <w:rPr>
                <w:sz w:val="18"/>
                <w:szCs w:val="18"/>
              </w:rPr>
              <w:t>€</w:t>
            </w:r>
            <w:r w:rsidRPr="00326B3A">
              <w:rPr>
                <w:sz w:val="18"/>
                <w:szCs w:val="18"/>
              </w:rPr>
              <w:t xml:space="preserve">1,6 </w:t>
            </w:r>
            <w:r w:rsidR="009979CE">
              <w:rPr>
                <w:sz w:val="18"/>
                <w:szCs w:val="18"/>
              </w:rPr>
              <w:t>δισ.</w:t>
            </w:r>
            <w:r w:rsidRPr="00326B3A">
              <w:rPr>
                <w:sz w:val="18"/>
                <w:szCs w:val="18"/>
              </w:rPr>
              <w:t xml:space="preserve"> </w:t>
            </w:r>
            <w:r w:rsidR="00584DCF">
              <w:rPr>
                <w:sz w:val="18"/>
                <w:szCs w:val="18"/>
              </w:rPr>
              <w:t>διατέθηκε στη Τράπεζα Πειραιώς</w:t>
            </w:r>
            <w:r w:rsidRPr="00326B3A">
              <w:rPr>
                <w:sz w:val="18"/>
                <w:szCs w:val="18"/>
              </w:rPr>
              <w:t xml:space="preserve">. Παράλληλα, στο πρόγραμμα που χρηματοδοτήθηκε από το Υπουργείο Ανάπτυξης με 2ετή επιδότηση επιτοκίου για νέα χρηματοδότηση σε μεσαίες και μικρές επιχειρήσεις που επλήγησαν από την πανδημία, η Τράπεζα συμμετείχε για ποσό </w:t>
            </w:r>
            <w:r w:rsidR="00200B86">
              <w:rPr>
                <w:sz w:val="18"/>
                <w:szCs w:val="18"/>
              </w:rPr>
              <w:t>€</w:t>
            </w:r>
            <w:r w:rsidRPr="00326B3A">
              <w:rPr>
                <w:sz w:val="18"/>
                <w:szCs w:val="18"/>
              </w:rPr>
              <w:t xml:space="preserve">0,6 </w:t>
            </w:r>
            <w:r w:rsidR="009979CE">
              <w:rPr>
                <w:sz w:val="18"/>
                <w:szCs w:val="18"/>
              </w:rPr>
              <w:t>δισ</w:t>
            </w:r>
            <w:r w:rsidRPr="00326B3A">
              <w:rPr>
                <w:sz w:val="18"/>
                <w:szCs w:val="18"/>
              </w:rPr>
              <w:t>. Ε</w:t>
            </w:r>
            <w:r>
              <w:rPr>
                <w:sz w:val="18"/>
                <w:szCs w:val="18"/>
              </w:rPr>
              <w:t>πιπλέον, το πρόγραμμα «Γέφυρα»</w:t>
            </w:r>
            <w:r w:rsidRPr="00326B3A">
              <w:rPr>
                <w:sz w:val="18"/>
                <w:szCs w:val="18"/>
              </w:rPr>
              <w:t xml:space="preserve"> που χρηματοδοτήθηκε από το Υπουργείο Οικονομικώ</w:t>
            </w:r>
            <w:r>
              <w:rPr>
                <w:sz w:val="18"/>
                <w:szCs w:val="18"/>
              </w:rPr>
              <w:t>ν για την υποστήριξη δανειοληπτών</w:t>
            </w:r>
            <w:r w:rsidRPr="00326B3A">
              <w:rPr>
                <w:sz w:val="18"/>
                <w:szCs w:val="18"/>
              </w:rPr>
              <w:t xml:space="preserve"> στεγαστικών δανείων έχει λάβει συνολικά περίπου 160 χιλιάδες αιτήσεις και έχει εισέλθει στη φάση υλοποίησης. Οι συγκεκριμένε</w:t>
            </w:r>
            <w:r>
              <w:rPr>
                <w:sz w:val="18"/>
                <w:szCs w:val="18"/>
              </w:rPr>
              <w:t>ς αιτήσεις μέσω της</w:t>
            </w:r>
            <w:r w:rsidRPr="00326B3A">
              <w:rPr>
                <w:sz w:val="18"/>
                <w:szCs w:val="18"/>
              </w:rPr>
              <w:t xml:space="preserve"> Τράπεζας Πειραιώς ανέρχονται σε περίπου </w:t>
            </w:r>
            <w:r w:rsidR="00DE1DFC">
              <w:rPr>
                <w:sz w:val="18"/>
                <w:szCs w:val="18"/>
              </w:rPr>
              <w:t>40</w:t>
            </w:r>
            <w:r w:rsidRPr="00326B3A">
              <w:rPr>
                <w:sz w:val="18"/>
                <w:szCs w:val="18"/>
              </w:rPr>
              <w:t xml:space="preserve"> χιλιάδες που αντιστοιχούν σε </w:t>
            </w:r>
            <w:r w:rsidR="00913DC9">
              <w:rPr>
                <w:sz w:val="18"/>
                <w:szCs w:val="18"/>
              </w:rPr>
              <w:t>υπόλοιπα €1,2-</w:t>
            </w:r>
            <w:r w:rsidR="00913DC9" w:rsidRPr="00326B3A">
              <w:rPr>
                <w:sz w:val="18"/>
                <w:szCs w:val="18"/>
              </w:rPr>
              <w:t>1,</w:t>
            </w:r>
            <w:r w:rsidR="00913DC9">
              <w:rPr>
                <w:sz w:val="18"/>
                <w:szCs w:val="18"/>
              </w:rPr>
              <w:t>4</w:t>
            </w:r>
            <w:r w:rsidR="00913DC9" w:rsidRPr="00326B3A">
              <w:rPr>
                <w:sz w:val="18"/>
                <w:szCs w:val="18"/>
              </w:rPr>
              <w:t xml:space="preserve"> </w:t>
            </w:r>
            <w:r w:rsidR="00913DC9">
              <w:rPr>
                <w:sz w:val="18"/>
                <w:szCs w:val="18"/>
              </w:rPr>
              <w:t>δισ. που αναμένεται να υλοποιηθούν</w:t>
            </w:r>
            <w:r w:rsidRPr="00326B3A">
              <w:rPr>
                <w:sz w:val="18"/>
                <w:szCs w:val="18"/>
              </w:rPr>
              <w:t>.</w:t>
            </w:r>
          </w:p>
        </w:tc>
      </w:tr>
      <w:tr w:rsidR="00117E4D" w:rsidRPr="00BA5ED9" w14:paraId="075C7012" w14:textId="77777777" w:rsidTr="00526794">
        <w:trPr>
          <w:trHeight w:val="251"/>
        </w:trPr>
        <w:tc>
          <w:tcPr>
            <w:tcW w:w="1982" w:type="dxa"/>
            <w:tcMar>
              <w:top w:w="57" w:type="dxa"/>
              <w:bottom w:w="57" w:type="dxa"/>
            </w:tcMar>
          </w:tcPr>
          <w:p w14:paraId="2F6C2038" w14:textId="77777777" w:rsidR="00117E4D" w:rsidRPr="000B30BD" w:rsidRDefault="000B30BD" w:rsidP="00ED64FD">
            <w:pPr>
              <w:tabs>
                <w:tab w:val="left" w:pos="8262"/>
              </w:tabs>
              <w:spacing w:after="60"/>
              <w:ind w:left="32" w:right="74"/>
              <w:contextualSpacing/>
              <w:rPr>
                <w:rFonts w:eastAsiaTheme="minorEastAsia" w:cs="Calibri"/>
                <w:i/>
                <w:color w:val="FF0000"/>
              </w:rPr>
            </w:pPr>
            <w:r w:rsidRPr="000B30BD">
              <w:rPr>
                <w:rFonts w:eastAsiaTheme="minorEastAsia" w:cs="Calibri"/>
                <w:i/>
                <w:color w:val="6691AB"/>
              </w:rPr>
              <w:t xml:space="preserve">Δείκτες κεφαλαιακής επάρκειας </w:t>
            </w:r>
            <w:r>
              <w:rPr>
                <w:rFonts w:eastAsiaTheme="minorEastAsia" w:cs="Calibri"/>
                <w:i/>
                <w:color w:val="6691AB"/>
              </w:rPr>
              <w:t>σε ικανοποιητικ</w:t>
            </w:r>
            <w:r w:rsidR="00ED64FD">
              <w:rPr>
                <w:rFonts w:eastAsiaTheme="minorEastAsia" w:cs="Calibri"/>
                <w:i/>
                <w:color w:val="6691AB"/>
              </w:rPr>
              <w:t>ό</w:t>
            </w:r>
            <w:r>
              <w:rPr>
                <w:rFonts w:eastAsiaTheme="minorEastAsia" w:cs="Calibri"/>
                <w:i/>
                <w:color w:val="6691AB"/>
              </w:rPr>
              <w:t xml:space="preserve"> επίπεδ</w:t>
            </w:r>
            <w:r w:rsidR="00ED64FD">
              <w:rPr>
                <w:rFonts w:eastAsiaTheme="minorEastAsia" w:cs="Calibri"/>
                <w:i/>
                <w:color w:val="6691AB"/>
              </w:rPr>
              <w:t>ο</w:t>
            </w:r>
          </w:p>
        </w:tc>
        <w:tc>
          <w:tcPr>
            <w:tcW w:w="7090" w:type="dxa"/>
            <w:tcMar>
              <w:top w:w="57" w:type="dxa"/>
              <w:bottom w:w="57" w:type="dxa"/>
            </w:tcMar>
          </w:tcPr>
          <w:p w14:paraId="621CD677" w14:textId="692BF6C5" w:rsidR="00117E4D" w:rsidRPr="00A67059" w:rsidRDefault="00585B80" w:rsidP="00526794">
            <w:pPr>
              <w:tabs>
                <w:tab w:val="left" w:pos="8262"/>
              </w:tabs>
              <w:spacing w:before="40" w:after="40" w:line="252" w:lineRule="auto"/>
              <w:ind w:left="7" w:right="-105"/>
              <w:jc w:val="both"/>
              <w:rPr>
                <w:sz w:val="18"/>
                <w:szCs w:val="18"/>
              </w:rPr>
            </w:pPr>
            <w:r w:rsidRPr="00585B80">
              <w:rPr>
                <w:sz w:val="18"/>
                <w:szCs w:val="18"/>
              </w:rPr>
              <w:t xml:space="preserve">Ο δείκτης κεφαλαιακής επάρκειας Common </w:t>
            </w:r>
            <w:proofErr w:type="spellStart"/>
            <w:r w:rsidRPr="00585B80">
              <w:rPr>
                <w:sz w:val="18"/>
                <w:szCs w:val="18"/>
              </w:rPr>
              <w:t>Equity</w:t>
            </w:r>
            <w:proofErr w:type="spellEnd"/>
            <w:r w:rsidRPr="00585B80">
              <w:rPr>
                <w:sz w:val="18"/>
                <w:szCs w:val="18"/>
              </w:rPr>
              <w:t xml:space="preserve"> </w:t>
            </w:r>
            <w:proofErr w:type="spellStart"/>
            <w:r w:rsidRPr="00585B80">
              <w:rPr>
                <w:sz w:val="18"/>
                <w:szCs w:val="18"/>
              </w:rPr>
              <w:t>Tier</w:t>
            </w:r>
            <w:proofErr w:type="spellEnd"/>
            <w:r w:rsidRPr="00585B80">
              <w:rPr>
                <w:sz w:val="18"/>
                <w:szCs w:val="18"/>
              </w:rPr>
              <w:t xml:space="preserve"> 1 (CET1</w:t>
            </w:r>
            <w:r w:rsidR="003D7B2D">
              <w:rPr>
                <w:sz w:val="18"/>
                <w:szCs w:val="18"/>
              </w:rPr>
              <w:t>) του Ομίλου στις 3</w:t>
            </w:r>
            <w:r w:rsidR="00501E99">
              <w:rPr>
                <w:sz w:val="18"/>
                <w:szCs w:val="18"/>
              </w:rPr>
              <w:t>1</w:t>
            </w:r>
            <w:r w:rsidR="003D7B2D">
              <w:rPr>
                <w:sz w:val="18"/>
                <w:szCs w:val="18"/>
              </w:rPr>
              <w:t xml:space="preserve"> Δεκεμβρίου</w:t>
            </w:r>
            <w:r w:rsidRPr="00585B80">
              <w:rPr>
                <w:sz w:val="18"/>
                <w:szCs w:val="18"/>
              </w:rPr>
              <w:t xml:space="preserve"> 2020 διαμορφώθηκε στο </w:t>
            </w:r>
            <w:r w:rsidR="003D7B2D" w:rsidRPr="003D7B2D">
              <w:rPr>
                <w:sz w:val="18"/>
                <w:szCs w:val="18"/>
              </w:rPr>
              <w:t>13,8%, ενώ ο συνολικός δείκτης κεφαλαίου διαμορφώθηκε στο 15,8</w:t>
            </w:r>
            <w:r w:rsidR="003D7B2D">
              <w:rPr>
                <w:sz w:val="18"/>
                <w:szCs w:val="18"/>
              </w:rPr>
              <w:t>%, βελτιωμένος</w:t>
            </w:r>
            <w:r w:rsidR="003D7B2D" w:rsidRPr="003D7B2D">
              <w:rPr>
                <w:sz w:val="18"/>
                <w:szCs w:val="18"/>
              </w:rPr>
              <w:t xml:space="preserve"> κατά 23</w:t>
            </w:r>
            <w:r w:rsidR="003D7B2D">
              <w:rPr>
                <w:sz w:val="18"/>
                <w:szCs w:val="18"/>
              </w:rPr>
              <w:t xml:space="preserve"> μονάδες βάσης</w:t>
            </w:r>
            <w:r w:rsidR="003D7B2D" w:rsidRPr="003D7B2D">
              <w:rPr>
                <w:sz w:val="18"/>
                <w:szCs w:val="18"/>
              </w:rPr>
              <w:t xml:space="preserve"> το 2020 και </w:t>
            </w:r>
            <w:r w:rsidR="000203EC">
              <w:rPr>
                <w:sz w:val="18"/>
                <w:szCs w:val="18"/>
              </w:rPr>
              <w:t xml:space="preserve">υψηλότερα από </w:t>
            </w:r>
            <w:r w:rsidR="003D7B2D" w:rsidRPr="003D7B2D">
              <w:rPr>
                <w:sz w:val="18"/>
                <w:szCs w:val="18"/>
              </w:rPr>
              <w:t>τις συνολικές κεφαλαιακές απαιτήσεις</w:t>
            </w:r>
            <w:r w:rsidR="003D7B2D">
              <w:rPr>
                <w:sz w:val="18"/>
                <w:szCs w:val="18"/>
              </w:rPr>
              <w:t>, οι οποίες</w:t>
            </w:r>
            <w:r w:rsidR="000203EC">
              <w:rPr>
                <w:sz w:val="18"/>
                <w:szCs w:val="18"/>
              </w:rPr>
              <w:t>,</w:t>
            </w:r>
            <w:r w:rsidR="003D7B2D">
              <w:rPr>
                <w:sz w:val="18"/>
                <w:szCs w:val="18"/>
              </w:rPr>
              <w:t xml:space="preserve"> </w:t>
            </w:r>
            <w:r w:rsidR="003D7B2D" w:rsidRPr="003D7B2D">
              <w:rPr>
                <w:sz w:val="18"/>
                <w:szCs w:val="18"/>
              </w:rPr>
              <w:t xml:space="preserve"> μετά την ευελιξία </w:t>
            </w:r>
            <w:r w:rsidR="003D7B2D">
              <w:rPr>
                <w:sz w:val="18"/>
                <w:szCs w:val="18"/>
              </w:rPr>
              <w:t xml:space="preserve">που δόθηκε από τον επόπτη λόγω του </w:t>
            </w:r>
            <w:r w:rsidR="003D7B2D" w:rsidRPr="003D7B2D">
              <w:rPr>
                <w:sz w:val="18"/>
                <w:szCs w:val="18"/>
              </w:rPr>
              <w:t>Covid-19</w:t>
            </w:r>
            <w:r w:rsidR="000203EC">
              <w:rPr>
                <w:sz w:val="18"/>
                <w:szCs w:val="18"/>
              </w:rPr>
              <w:t>,</w:t>
            </w:r>
            <w:r w:rsidR="003D7B2D" w:rsidRPr="003D7B2D">
              <w:rPr>
                <w:sz w:val="18"/>
                <w:szCs w:val="18"/>
              </w:rPr>
              <w:t xml:space="preserve"> </w:t>
            </w:r>
            <w:r w:rsidR="00501E99">
              <w:rPr>
                <w:sz w:val="18"/>
                <w:szCs w:val="18"/>
              </w:rPr>
              <w:t>διαμορφών</w:t>
            </w:r>
            <w:r w:rsidR="000203EC">
              <w:rPr>
                <w:sz w:val="18"/>
                <w:szCs w:val="18"/>
              </w:rPr>
              <w:t>ονται</w:t>
            </w:r>
            <w:r w:rsidR="00501E99">
              <w:rPr>
                <w:sz w:val="18"/>
                <w:szCs w:val="18"/>
              </w:rPr>
              <w:t xml:space="preserve"> </w:t>
            </w:r>
            <w:r w:rsidR="000203EC">
              <w:rPr>
                <w:sz w:val="18"/>
                <w:szCs w:val="18"/>
              </w:rPr>
              <w:t xml:space="preserve">τώρα </w:t>
            </w:r>
            <w:r w:rsidR="003D7B2D">
              <w:rPr>
                <w:sz w:val="18"/>
                <w:szCs w:val="18"/>
              </w:rPr>
              <w:t xml:space="preserve">στο </w:t>
            </w:r>
            <w:r w:rsidR="003D7B2D" w:rsidRPr="003D7B2D">
              <w:rPr>
                <w:sz w:val="18"/>
                <w:szCs w:val="18"/>
              </w:rPr>
              <w:t xml:space="preserve">11,25%. </w:t>
            </w:r>
            <w:r w:rsidR="003D7B2D">
              <w:rPr>
                <w:sz w:val="18"/>
                <w:szCs w:val="18"/>
              </w:rPr>
              <w:t xml:space="preserve">Ο δείκτης </w:t>
            </w:r>
            <w:r w:rsidR="003D7B2D" w:rsidRPr="003D7B2D">
              <w:rPr>
                <w:sz w:val="18"/>
                <w:szCs w:val="18"/>
              </w:rPr>
              <w:t xml:space="preserve">CET1 και ο συνολικός δείκτης κεφαλαίου </w:t>
            </w:r>
            <w:r w:rsidR="003D7B2D">
              <w:rPr>
                <w:sz w:val="18"/>
                <w:szCs w:val="18"/>
              </w:rPr>
              <w:t xml:space="preserve">με πλήρη εφαρμογή της Βασιλείας ΙΙΙ </w:t>
            </w:r>
            <w:r w:rsidR="003D7B2D" w:rsidRPr="003D7B2D">
              <w:rPr>
                <w:sz w:val="18"/>
                <w:szCs w:val="18"/>
              </w:rPr>
              <w:t xml:space="preserve">διαμορφώθηκαν σε 11,3% και 13,4% αντίστοιχα. Η κεφαλαιακή θέση του </w:t>
            </w:r>
            <w:r w:rsidR="003D7B2D">
              <w:rPr>
                <w:sz w:val="18"/>
                <w:szCs w:val="18"/>
              </w:rPr>
              <w:t>Ομίλου</w:t>
            </w:r>
            <w:r w:rsidR="003D7B2D" w:rsidRPr="003D7B2D">
              <w:rPr>
                <w:sz w:val="18"/>
                <w:szCs w:val="18"/>
              </w:rPr>
              <w:t xml:space="preserve"> θα ενισχυθεί περαιτέρω με πρόσθετες </w:t>
            </w:r>
            <w:r w:rsidR="000203EC">
              <w:rPr>
                <w:sz w:val="18"/>
                <w:szCs w:val="18"/>
              </w:rPr>
              <w:t xml:space="preserve">κεφαλαιακές </w:t>
            </w:r>
            <w:r w:rsidR="003D7B2D" w:rsidRPr="003D7B2D">
              <w:rPr>
                <w:sz w:val="18"/>
                <w:szCs w:val="18"/>
              </w:rPr>
              <w:t xml:space="preserve">ενέργειες που βρίσκονται ήδη σε εξέλιξη, συνολικού ύψους περίπου </w:t>
            </w:r>
            <w:r w:rsidR="00A67059">
              <w:rPr>
                <w:sz w:val="18"/>
                <w:szCs w:val="18"/>
              </w:rPr>
              <w:t>€</w:t>
            </w:r>
            <w:r w:rsidR="003D7B2D" w:rsidRPr="003D7B2D">
              <w:rPr>
                <w:sz w:val="18"/>
                <w:szCs w:val="18"/>
              </w:rPr>
              <w:t>2,6 δισ.</w:t>
            </w:r>
          </w:p>
        </w:tc>
      </w:tr>
      <w:tr w:rsidR="00117E4D" w:rsidRPr="00D92023" w14:paraId="370D4D8A" w14:textId="77777777" w:rsidTr="0042720C">
        <w:trPr>
          <w:trHeight w:val="658"/>
        </w:trPr>
        <w:tc>
          <w:tcPr>
            <w:tcW w:w="1982" w:type="dxa"/>
            <w:tcMar>
              <w:top w:w="57" w:type="dxa"/>
              <w:bottom w:w="57" w:type="dxa"/>
            </w:tcMar>
          </w:tcPr>
          <w:p w14:paraId="0044180B" w14:textId="4B40314A" w:rsidR="00117E4D" w:rsidRPr="000203EC" w:rsidRDefault="004E36EA" w:rsidP="004E36EA">
            <w:pPr>
              <w:tabs>
                <w:tab w:val="left" w:pos="8262"/>
              </w:tabs>
              <w:spacing w:after="60"/>
              <w:ind w:left="32" w:right="74"/>
              <w:contextualSpacing/>
              <w:rPr>
                <w:rFonts w:cs="Calibri"/>
                <w:i/>
              </w:rPr>
            </w:pPr>
            <w:r>
              <w:rPr>
                <w:rFonts w:eastAsiaTheme="minorEastAsia" w:cs="Calibri"/>
                <w:i/>
                <w:color w:val="6691AB"/>
              </w:rPr>
              <w:t>Συνεχίζεται η μείωση του αποθέματος</w:t>
            </w:r>
            <w:r w:rsidR="00FE7C89" w:rsidRPr="00FE7C89">
              <w:rPr>
                <w:rFonts w:eastAsiaTheme="minorEastAsia" w:cs="Calibri"/>
                <w:i/>
                <w:color w:val="6691AB"/>
              </w:rPr>
              <w:t xml:space="preserve"> </w:t>
            </w:r>
            <w:r w:rsidR="00182520">
              <w:rPr>
                <w:rFonts w:eastAsiaTheme="minorEastAsia" w:cs="Calibri"/>
                <w:i/>
                <w:color w:val="6691AB"/>
                <w:lang w:val="en-US"/>
              </w:rPr>
              <w:t>NPEs</w:t>
            </w:r>
          </w:p>
        </w:tc>
        <w:tc>
          <w:tcPr>
            <w:tcW w:w="7090" w:type="dxa"/>
            <w:tcMar>
              <w:top w:w="57" w:type="dxa"/>
              <w:bottom w:w="57" w:type="dxa"/>
            </w:tcMar>
          </w:tcPr>
          <w:p w14:paraId="71F3F510" w14:textId="2C034196" w:rsidR="00094C6F" w:rsidRPr="00D92023" w:rsidRDefault="00094C6F" w:rsidP="0042720C">
            <w:pPr>
              <w:tabs>
                <w:tab w:val="left" w:pos="8262"/>
              </w:tabs>
              <w:spacing w:before="40" w:after="40" w:line="252" w:lineRule="auto"/>
              <w:ind w:right="-105"/>
              <w:jc w:val="both"/>
              <w:rPr>
                <w:color w:val="FF0000"/>
                <w:sz w:val="18"/>
                <w:szCs w:val="18"/>
              </w:rPr>
            </w:pPr>
            <w:r>
              <w:rPr>
                <w:sz w:val="18"/>
                <w:szCs w:val="18"/>
              </w:rPr>
              <w:t xml:space="preserve">Τα </w:t>
            </w:r>
            <w:r w:rsidR="00182520">
              <w:rPr>
                <w:sz w:val="18"/>
                <w:szCs w:val="18"/>
                <w:lang w:val="en-US"/>
              </w:rPr>
              <w:t>NPEs</w:t>
            </w:r>
            <w:r w:rsidRPr="00094C6F">
              <w:rPr>
                <w:sz w:val="18"/>
                <w:szCs w:val="18"/>
              </w:rPr>
              <w:t xml:space="preserve"> διαμορφώθηκαν στα </w:t>
            </w:r>
            <w:r w:rsidR="000203EC">
              <w:rPr>
                <w:sz w:val="18"/>
                <w:szCs w:val="18"/>
              </w:rPr>
              <w:t>€</w:t>
            </w:r>
            <w:r w:rsidRPr="00094C6F">
              <w:rPr>
                <w:sz w:val="18"/>
                <w:szCs w:val="18"/>
              </w:rPr>
              <w:t xml:space="preserve">22,5 </w:t>
            </w:r>
            <w:r w:rsidR="009979CE">
              <w:rPr>
                <w:sz w:val="18"/>
                <w:szCs w:val="18"/>
              </w:rPr>
              <w:t>δισ.</w:t>
            </w:r>
            <w:r w:rsidRPr="00094C6F">
              <w:rPr>
                <w:sz w:val="18"/>
                <w:szCs w:val="18"/>
              </w:rPr>
              <w:t xml:space="preserve"> στο τέλος Δεκεμβρίου</w:t>
            </w:r>
            <w:r w:rsidR="000203EC">
              <w:rPr>
                <w:sz w:val="18"/>
                <w:szCs w:val="18"/>
              </w:rPr>
              <w:t xml:space="preserve"> </w:t>
            </w:r>
            <w:r w:rsidRPr="00094C6F">
              <w:rPr>
                <w:sz w:val="18"/>
                <w:szCs w:val="18"/>
              </w:rPr>
              <w:t xml:space="preserve">2020 έναντι </w:t>
            </w:r>
            <w:r w:rsidR="000203EC">
              <w:rPr>
                <w:sz w:val="18"/>
                <w:szCs w:val="18"/>
              </w:rPr>
              <w:t>€</w:t>
            </w:r>
            <w:r w:rsidRPr="00094C6F">
              <w:rPr>
                <w:sz w:val="18"/>
                <w:szCs w:val="18"/>
              </w:rPr>
              <w:t xml:space="preserve">24,5 </w:t>
            </w:r>
            <w:r w:rsidR="009979CE">
              <w:rPr>
                <w:sz w:val="18"/>
                <w:szCs w:val="18"/>
              </w:rPr>
              <w:t>δισ.</w:t>
            </w:r>
            <w:r w:rsidRPr="00094C6F">
              <w:rPr>
                <w:sz w:val="18"/>
                <w:szCs w:val="18"/>
              </w:rPr>
              <w:t xml:space="preserve"> στις 31 Δεκε</w:t>
            </w:r>
            <w:r>
              <w:rPr>
                <w:sz w:val="18"/>
                <w:szCs w:val="18"/>
              </w:rPr>
              <w:t>μβρίου</w:t>
            </w:r>
            <w:r w:rsidR="000203EC">
              <w:rPr>
                <w:sz w:val="18"/>
                <w:szCs w:val="18"/>
              </w:rPr>
              <w:t xml:space="preserve"> </w:t>
            </w:r>
            <w:r>
              <w:rPr>
                <w:sz w:val="18"/>
                <w:szCs w:val="18"/>
              </w:rPr>
              <w:t xml:space="preserve">2019. </w:t>
            </w:r>
            <w:r w:rsidR="000203EC">
              <w:rPr>
                <w:sz w:val="18"/>
                <w:szCs w:val="18"/>
              </w:rPr>
              <w:t>Ο</w:t>
            </w:r>
            <w:r>
              <w:rPr>
                <w:sz w:val="18"/>
                <w:szCs w:val="18"/>
              </w:rPr>
              <w:t xml:space="preserve"> δείκτης κάλυψης </w:t>
            </w:r>
            <w:r w:rsidR="000203EC">
              <w:rPr>
                <w:sz w:val="18"/>
                <w:szCs w:val="18"/>
                <w:lang w:val="en-US"/>
              </w:rPr>
              <w:t>NPE</w:t>
            </w:r>
            <w:r w:rsidR="000203EC" w:rsidRPr="000203EC">
              <w:rPr>
                <w:sz w:val="18"/>
                <w:szCs w:val="18"/>
              </w:rPr>
              <w:t xml:space="preserve"> </w:t>
            </w:r>
            <w:r>
              <w:rPr>
                <w:sz w:val="18"/>
                <w:szCs w:val="18"/>
              </w:rPr>
              <w:t>παρέμεινε σταθερός στο επίπεδο του 44%</w:t>
            </w:r>
            <w:r w:rsidRPr="00094C6F">
              <w:rPr>
                <w:sz w:val="18"/>
                <w:szCs w:val="18"/>
              </w:rPr>
              <w:t xml:space="preserve">. Οι </w:t>
            </w:r>
            <w:proofErr w:type="spellStart"/>
            <w:r w:rsidRPr="00094C6F">
              <w:rPr>
                <w:sz w:val="18"/>
                <w:szCs w:val="18"/>
              </w:rPr>
              <w:t>τι</w:t>
            </w:r>
            <w:r>
              <w:rPr>
                <w:sz w:val="18"/>
                <w:szCs w:val="18"/>
              </w:rPr>
              <w:t>τλοποιήσεις</w:t>
            </w:r>
            <w:proofErr w:type="spellEnd"/>
            <w:r>
              <w:rPr>
                <w:sz w:val="18"/>
                <w:szCs w:val="18"/>
              </w:rPr>
              <w:t xml:space="preserve"> Phoenix και Vega</w:t>
            </w:r>
            <w:r w:rsidRPr="00094C6F">
              <w:rPr>
                <w:sz w:val="18"/>
                <w:szCs w:val="18"/>
              </w:rPr>
              <w:t xml:space="preserve"> συνολικής </w:t>
            </w:r>
            <w:r w:rsidR="000203EC">
              <w:rPr>
                <w:sz w:val="18"/>
                <w:szCs w:val="18"/>
              </w:rPr>
              <w:t>μεικτή</w:t>
            </w:r>
            <w:r w:rsidR="003A59A5">
              <w:rPr>
                <w:sz w:val="18"/>
                <w:szCs w:val="18"/>
              </w:rPr>
              <w:t>ς</w:t>
            </w:r>
            <w:r w:rsidRPr="00094C6F">
              <w:rPr>
                <w:sz w:val="18"/>
                <w:szCs w:val="18"/>
              </w:rPr>
              <w:t xml:space="preserve"> λογιστικής αξίας </w:t>
            </w:r>
            <w:r w:rsidR="003A59A5">
              <w:rPr>
                <w:sz w:val="18"/>
                <w:szCs w:val="18"/>
              </w:rPr>
              <w:t>€</w:t>
            </w:r>
            <w:r w:rsidRPr="00094C6F">
              <w:rPr>
                <w:sz w:val="18"/>
                <w:szCs w:val="18"/>
              </w:rPr>
              <w:t xml:space="preserve">7 </w:t>
            </w:r>
            <w:r w:rsidR="009979CE">
              <w:rPr>
                <w:sz w:val="18"/>
                <w:szCs w:val="18"/>
              </w:rPr>
              <w:t>δισ.</w:t>
            </w:r>
            <w:r w:rsidRPr="00094C6F">
              <w:rPr>
                <w:sz w:val="18"/>
                <w:szCs w:val="18"/>
              </w:rPr>
              <w:t xml:space="preserve">, οι οποίες αναμένεται να ολοκληρωθούν </w:t>
            </w:r>
            <w:r w:rsidR="003A59A5">
              <w:rPr>
                <w:sz w:val="18"/>
                <w:szCs w:val="18"/>
              </w:rPr>
              <w:t xml:space="preserve">στα μέσα </w:t>
            </w:r>
            <w:r w:rsidRPr="00094C6F">
              <w:rPr>
                <w:sz w:val="18"/>
                <w:szCs w:val="18"/>
              </w:rPr>
              <w:t>του 2</w:t>
            </w:r>
            <w:r w:rsidR="003A59A5">
              <w:rPr>
                <w:sz w:val="18"/>
                <w:szCs w:val="18"/>
              </w:rPr>
              <w:t>0</w:t>
            </w:r>
            <w:r w:rsidRPr="00094C6F">
              <w:rPr>
                <w:sz w:val="18"/>
                <w:szCs w:val="18"/>
              </w:rPr>
              <w:t>21, θα μ</w:t>
            </w:r>
            <w:r>
              <w:rPr>
                <w:sz w:val="18"/>
                <w:szCs w:val="18"/>
              </w:rPr>
              <w:t xml:space="preserve">ειώσουν περαιτέρω το απόθεμα </w:t>
            </w:r>
            <w:r w:rsidR="00182520">
              <w:rPr>
                <w:sz w:val="18"/>
                <w:szCs w:val="18"/>
                <w:lang w:val="en-US"/>
              </w:rPr>
              <w:t>NPEs</w:t>
            </w:r>
            <w:r w:rsidR="003A59A5" w:rsidRPr="003A59A5">
              <w:rPr>
                <w:sz w:val="18"/>
                <w:szCs w:val="18"/>
              </w:rPr>
              <w:t xml:space="preserve"> </w:t>
            </w:r>
            <w:r w:rsidRPr="00094C6F">
              <w:rPr>
                <w:sz w:val="18"/>
                <w:szCs w:val="18"/>
              </w:rPr>
              <w:t xml:space="preserve">του Ομίλου, ενώ </w:t>
            </w:r>
            <w:r>
              <w:rPr>
                <w:sz w:val="18"/>
                <w:szCs w:val="18"/>
              </w:rPr>
              <w:t>συγχρ</w:t>
            </w:r>
            <w:r w:rsidR="003A59A5">
              <w:rPr>
                <w:sz w:val="18"/>
                <w:szCs w:val="18"/>
              </w:rPr>
              <w:t>ό</w:t>
            </w:r>
            <w:r>
              <w:rPr>
                <w:sz w:val="18"/>
                <w:szCs w:val="18"/>
              </w:rPr>
              <w:t xml:space="preserve">νως </w:t>
            </w:r>
            <w:r w:rsidRPr="00094C6F">
              <w:rPr>
                <w:sz w:val="18"/>
                <w:szCs w:val="18"/>
              </w:rPr>
              <w:t>βρίσκονται σε εξέλιξη π</w:t>
            </w:r>
            <w:r>
              <w:rPr>
                <w:sz w:val="18"/>
                <w:szCs w:val="18"/>
              </w:rPr>
              <w:t xml:space="preserve">ρόσθετες συναλλαγές, κάτι το οποίο επιτρέπει η </w:t>
            </w:r>
            <w:r w:rsidRPr="00094C6F">
              <w:rPr>
                <w:sz w:val="18"/>
                <w:szCs w:val="18"/>
              </w:rPr>
              <w:t xml:space="preserve">βελτιωμένη πορεία </w:t>
            </w:r>
            <w:r>
              <w:rPr>
                <w:sz w:val="18"/>
                <w:szCs w:val="18"/>
              </w:rPr>
              <w:t xml:space="preserve">των εποπτικών κεφαλαίων του Ομίλου. Οι εκροές </w:t>
            </w:r>
            <w:r w:rsidR="00182520">
              <w:rPr>
                <w:sz w:val="18"/>
                <w:szCs w:val="18"/>
                <w:lang w:val="en-US"/>
              </w:rPr>
              <w:t>NPEs</w:t>
            </w:r>
            <w:r w:rsidRPr="00094C6F">
              <w:rPr>
                <w:sz w:val="18"/>
                <w:szCs w:val="18"/>
              </w:rPr>
              <w:t xml:space="preserve"> παρέμειναν ισχυρές κατά τη διάρκεια του 2020, παρά το γεγονός ότι οι δημοπρασίες είχαν ανασταλεί για το μεγαλύτερο μέρος του έτους. Από την άλλη πλευρά, οι εισροές αυξήθηκαν </w:t>
            </w:r>
            <w:r w:rsidRPr="00094C6F">
              <w:rPr>
                <w:sz w:val="18"/>
                <w:szCs w:val="18"/>
              </w:rPr>
              <w:lastRenderedPageBreak/>
              <w:t>κατά το 4ο τρίμηνο του</w:t>
            </w:r>
            <w:r w:rsidR="003A59A5" w:rsidRPr="003A59A5">
              <w:rPr>
                <w:sz w:val="18"/>
                <w:szCs w:val="18"/>
              </w:rPr>
              <w:t xml:space="preserve"> </w:t>
            </w:r>
            <w:r w:rsidRPr="00094C6F">
              <w:rPr>
                <w:sz w:val="18"/>
                <w:szCs w:val="18"/>
              </w:rPr>
              <w:t>20</w:t>
            </w:r>
            <w:r>
              <w:rPr>
                <w:sz w:val="18"/>
                <w:szCs w:val="18"/>
              </w:rPr>
              <w:t xml:space="preserve">20 λόγω της πρώτης ομάδας ωρίμανσης εκθέσεων σε </w:t>
            </w:r>
            <w:proofErr w:type="spellStart"/>
            <w:r w:rsidRPr="00094C6F">
              <w:rPr>
                <w:sz w:val="18"/>
                <w:szCs w:val="18"/>
              </w:rPr>
              <w:t>μορατόρι</w:t>
            </w:r>
            <w:r>
              <w:rPr>
                <w:sz w:val="18"/>
                <w:szCs w:val="18"/>
              </w:rPr>
              <w:t>α</w:t>
            </w:r>
            <w:proofErr w:type="spellEnd"/>
            <w:r w:rsidRPr="00094C6F">
              <w:rPr>
                <w:sz w:val="18"/>
                <w:szCs w:val="18"/>
              </w:rPr>
              <w:t>. Κατά τη δι</w:t>
            </w:r>
            <w:r>
              <w:rPr>
                <w:sz w:val="18"/>
                <w:szCs w:val="18"/>
              </w:rPr>
              <w:t>άρκεια του 4ου τριμήνου του 2020 έληξαν</w:t>
            </w:r>
            <w:r w:rsidRPr="00094C6F">
              <w:rPr>
                <w:sz w:val="18"/>
                <w:szCs w:val="18"/>
              </w:rPr>
              <w:t xml:space="preserve"> </w:t>
            </w:r>
            <w:proofErr w:type="spellStart"/>
            <w:r>
              <w:rPr>
                <w:sz w:val="18"/>
                <w:szCs w:val="18"/>
              </w:rPr>
              <w:t>μορατόρια</w:t>
            </w:r>
            <w:proofErr w:type="spellEnd"/>
            <w:r>
              <w:rPr>
                <w:sz w:val="18"/>
                <w:szCs w:val="18"/>
              </w:rPr>
              <w:t xml:space="preserve"> ύψους</w:t>
            </w:r>
            <w:r w:rsidRPr="00094C6F">
              <w:rPr>
                <w:sz w:val="18"/>
                <w:szCs w:val="18"/>
              </w:rPr>
              <w:t xml:space="preserve"> </w:t>
            </w:r>
            <w:r w:rsidR="0042720C">
              <w:rPr>
                <w:sz w:val="18"/>
                <w:szCs w:val="18"/>
              </w:rPr>
              <w:t>€</w:t>
            </w:r>
            <w:r w:rsidRPr="00094C6F">
              <w:rPr>
                <w:sz w:val="18"/>
                <w:szCs w:val="18"/>
              </w:rPr>
              <w:t xml:space="preserve">3,3 </w:t>
            </w:r>
            <w:r w:rsidR="009979CE">
              <w:rPr>
                <w:sz w:val="18"/>
                <w:szCs w:val="18"/>
              </w:rPr>
              <w:t>δισ.</w:t>
            </w:r>
            <w:r w:rsidRPr="00094C6F">
              <w:rPr>
                <w:sz w:val="18"/>
                <w:szCs w:val="18"/>
              </w:rPr>
              <w:t xml:space="preserve">, μειώνοντας τα ενεργά </w:t>
            </w:r>
            <w:proofErr w:type="spellStart"/>
            <w:r w:rsidRPr="00094C6F">
              <w:rPr>
                <w:sz w:val="18"/>
                <w:szCs w:val="18"/>
              </w:rPr>
              <w:t>μορατόρια</w:t>
            </w:r>
            <w:proofErr w:type="spellEnd"/>
            <w:r w:rsidRPr="00094C6F">
              <w:rPr>
                <w:sz w:val="18"/>
                <w:szCs w:val="18"/>
              </w:rPr>
              <w:t xml:space="preserve"> σε </w:t>
            </w:r>
            <w:r w:rsidR="0042720C">
              <w:rPr>
                <w:sz w:val="18"/>
                <w:szCs w:val="18"/>
              </w:rPr>
              <w:t>περίπου €</w:t>
            </w:r>
            <w:r w:rsidRPr="00094C6F">
              <w:rPr>
                <w:sz w:val="18"/>
                <w:szCs w:val="18"/>
              </w:rPr>
              <w:t xml:space="preserve">1 </w:t>
            </w:r>
            <w:r w:rsidR="009979CE">
              <w:rPr>
                <w:sz w:val="18"/>
                <w:szCs w:val="18"/>
              </w:rPr>
              <w:t>δισ.</w:t>
            </w:r>
            <w:r w:rsidRPr="00094C6F">
              <w:rPr>
                <w:sz w:val="18"/>
                <w:szCs w:val="18"/>
              </w:rPr>
              <w:t xml:space="preserve"> στο τέλος Δεκεμβρίου</w:t>
            </w:r>
            <w:r w:rsidR="0042720C">
              <w:rPr>
                <w:sz w:val="18"/>
                <w:szCs w:val="18"/>
              </w:rPr>
              <w:t xml:space="preserve"> </w:t>
            </w:r>
            <w:r w:rsidRPr="00094C6F">
              <w:rPr>
                <w:sz w:val="18"/>
                <w:szCs w:val="18"/>
              </w:rPr>
              <w:t>2020.</w:t>
            </w:r>
          </w:p>
        </w:tc>
      </w:tr>
      <w:tr w:rsidR="00556FCF" w:rsidRPr="00677CFD" w14:paraId="072343A2" w14:textId="77777777" w:rsidTr="00526794">
        <w:trPr>
          <w:trHeight w:val="1278"/>
        </w:trPr>
        <w:tc>
          <w:tcPr>
            <w:tcW w:w="1982" w:type="dxa"/>
            <w:tcMar>
              <w:top w:w="57" w:type="dxa"/>
              <w:bottom w:w="57" w:type="dxa"/>
            </w:tcMar>
          </w:tcPr>
          <w:p w14:paraId="1464822C" w14:textId="77777777" w:rsidR="00556FCF" w:rsidRPr="00416095" w:rsidRDefault="00FE7C89" w:rsidP="00FE7C89">
            <w:pPr>
              <w:tabs>
                <w:tab w:val="left" w:pos="8262"/>
              </w:tabs>
              <w:spacing w:after="60"/>
              <w:ind w:left="32" w:right="74"/>
              <w:contextualSpacing/>
              <w:rPr>
                <w:rFonts w:eastAsiaTheme="minorEastAsia" w:cs="Calibri"/>
                <w:i/>
                <w:color w:val="6691AB"/>
                <w:lang w:val="en-US"/>
              </w:rPr>
            </w:pPr>
            <w:proofErr w:type="spellStart"/>
            <w:r w:rsidRPr="00FE7C89">
              <w:rPr>
                <w:rFonts w:eastAsiaTheme="minorEastAsia" w:cs="Calibri"/>
                <w:i/>
                <w:color w:val="6691AB"/>
                <w:lang w:val="en-US"/>
              </w:rPr>
              <w:lastRenderedPageBreak/>
              <w:t>Ετ</w:t>
            </w:r>
            <w:proofErr w:type="spellEnd"/>
            <w:r w:rsidRPr="00FE7C89">
              <w:rPr>
                <w:rFonts w:eastAsiaTheme="minorEastAsia" w:cs="Calibri"/>
                <w:i/>
                <w:color w:val="6691AB"/>
                <w:lang w:val="en-US"/>
              </w:rPr>
              <w:t xml:space="preserve">αιρικός </w:t>
            </w:r>
            <w:proofErr w:type="spellStart"/>
            <w:r w:rsidRPr="00FE7C89">
              <w:rPr>
                <w:rFonts w:eastAsiaTheme="minorEastAsia" w:cs="Calibri"/>
                <w:i/>
                <w:color w:val="6691AB"/>
                <w:lang w:val="en-US"/>
              </w:rPr>
              <w:t>μετ</w:t>
            </w:r>
            <w:proofErr w:type="spellEnd"/>
            <w:r w:rsidRPr="00FE7C89">
              <w:rPr>
                <w:rFonts w:eastAsiaTheme="minorEastAsia" w:cs="Calibri"/>
                <w:i/>
                <w:color w:val="6691AB"/>
                <w:lang w:val="en-US"/>
              </w:rPr>
              <w:t xml:space="preserve">ασχηματισμός </w:t>
            </w:r>
          </w:p>
        </w:tc>
        <w:tc>
          <w:tcPr>
            <w:tcW w:w="7090" w:type="dxa"/>
            <w:tcMar>
              <w:top w:w="57" w:type="dxa"/>
              <w:bottom w:w="57" w:type="dxa"/>
            </w:tcMar>
          </w:tcPr>
          <w:p w14:paraId="6EE2A00F" w14:textId="283B8700" w:rsidR="005563F0" w:rsidRPr="00677CFD" w:rsidRDefault="002303E5" w:rsidP="00366C06">
            <w:pPr>
              <w:tabs>
                <w:tab w:val="left" w:pos="8262"/>
              </w:tabs>
              <w:spacing w:before="40" w:after="40" w:line="252" w:lineRule="auto"/>
              <w:ind w:left="6" w:right="-105"/>
              <w:jc w:val="both"/>
              <w:rPr>
                <w:sz w:val="18"/>
                <w:szCs w:val="18"/>
              </w:rPr>
            </w:pPr>
            <w:r w:rsidRPr="002303E5">
              <w:rPr>
                <w:sz w:val="18"/>
                <w:szCs w:val="18"/>
              </w:rPr>
              <w:t>Ο εταιρικός μετασχηματισμός της Τράπεζας Πειραιώς ολοκληρώθηκ</w:t>
            </w:r>
            <w:r>
              <w:rPr>
                <w:sz w:val="18"/>
                <w:szCs w:val="18"/>
              </w:rPr>
              <w:t>ε με ημερομηνία ισολογισμού της απόσχισης την 30.12.2020. Η</w:t>
            </w:r>
            <w:r w:rsidRPr="002303E5">
              <w:rPr>
                <w:sz w:val="18"/>
                <w:szCs w:val="18"/>
              </w:rPr>
              <w:t xml:space="preserve"> Έκτακτη Γενική Συνέλευσ</w:t>
            </w:r>
            <w:r>
              <w:rPr>
                <w:sz w:val="18"/>
                <w:szCs w:val="18"/>
              </w:rPr>
              <w:t>η των μετόχων της</w:t>
            </w:r>
            <w:r w:rsidRPr="002303E5">
              <w:rPr>
                <w:sz w:val="18"/>
                <w:szCs w:val="18"/>
              </w:rPr>
              <w:t xml:space="preserve"> 10</w:t>
            </w:r>
            <w:r>
              <w:rPr>
                <w:sz w:val="18"/>
                <w:szCs w:val="18"/>
              </w:rPr>
              <w:t>ης</w:t>
            </w:r>
            <w:r w:rsidRPr="002303E5">
              <w:rPr>
                <w:sz w:val="18"/>
                <w:szCs w:val="18"/>
              </w:rPr>
              <w:t xml:space="preserve"> Δεκεμβρίου 2020 ενέκρινε τ</w:t>
            </w:r>
            <w:r>
              <w:rPr>
                <w:sz w:val="18"/>
                <w:szCs w:val="18"/>
              </w:rPr>
              <w:t xml:space="preserve">ην απόσχιση </w:t>
            </w:r>
            <w:r w:rsidRPr="002303E5">
              <w:rPr>
                <w:sz w:val="18"/>
                <w:szCs w:val="18"/>
              </w:rPr>
              <w:t xml:space="preserve">και το καταστατικό της νέας εταιρείας </w:t>
            </w:r>
            <w:r w:rsidR="0042720C">
              <w:rPr>
                <w:sz w:val="18"/>
                <w:szCs w:val="18"/>
              </w:rPr>
              <w:t>χρηματοδοτικών συμμετοχών, καθώς</w:t>
            </w:r>
            <w:r w:rsidRPr="002303E5">
              <w:rPr>
                <w:sz w:val="18"/>
                <w:szCs w:val="18"/>
              </w:rPr>
              <w:t xml:space="preserve"> και της νέας εταιρ</w:t>
            </w:r>
            <w:r>
              <w:rPr>
                <w:sz w:val="18"/>
                <w:szCs w:val="18"/>
              </w:rPr>
              <w:t xml:space="preserve">ικής οντότητας, η οποία είναι αυτή που έχει </w:t>
            </w:r>
            <w:r w:rsidR="005563F0">
              <w:rPr>
                <w:sz w:val="18"/>
                <w:szCs w:val="18"/>
              </w:rPr>
              <w:t>τ</w:t>
            </w:r>
            <w:r>
              <w:rPr>
                <w:sz w:val="18"/>
                <w:szCs w:val="18"/>
              </w:rPr>
              <w:t>ην άδεια τραπεζικών εργασιών</w:t>
            </w:r>
            <w:r w:rsidRPr="002303E5">
              <w:rPr>
                <w:sz w:val="18"/>
                <w:szCs w:val="18"/>
              </w:rPr>
              <w:t>.</w:t>
            </w:r>
          </w:p>
        </w:tc>
      </w:tr>
    </w:tbl>
    <w:p w14:paraId="6EE64BC8"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13F61EC3"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6406CFEA"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7463433C"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1F173EF9"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59D798C4"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3F0C8DE4"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5FAC32E0"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6C28AD6A"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6F91A6E1"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41BBEAD1"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612C2F1D"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7718478B"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797DA1CB"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63B4E427"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2DA18C4D"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29904189"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1E2EFD43"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0BB6BAAD"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7C242F53"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13387100"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7753CB90"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64B546DA"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196BF6A2" w14:textId="77777777" w:rsidR="005563F0" w:rsidRDefault="005563F0" w:rsidP="00476122">
      <w:pPr>
        <w:shd w:val="clear" w:color="auto" w:fill="FFFFFF" w:themeFill="background1"/>
        <w:tabs>
          <w:tab w:val="left" w:pos="9214"/>
        </w:tabs>
        <w:spacing w:after="40" w:line="300" w:lineRule="exact"/>
        <w:ind w:right="-425"/>
        <w:rPr>
          <w:rFonts w:eastAsia="Times New Roman" w:cs="Calibri"/>
          <w:b/>
          <w:i/>
          <w:color w:val="3A73AE" w:themeColor="accent1"/>
          <w:sz w:val="27"/>
          <w:szCs w:val="27"/>
        </w:rPr>
      </w:pPr>
    </w:p>
    <w:p w14:paraId="5DE16BBB" w14:textId="3D10D338" w:rsidR="005563F0" w:rsidRDefault="004318AB" w:rsidP="00476122">
      <w:pPr>
        <w:shd w:val="clear" w:color="auto" w:fill="FFFFFF" w:themeFill="background1"/>
        <w:tabs>
          <w:tab w:val="left" w:pos="9214"/>
        </w:tabs>
        <w:spacing w:after="40" w:line="300" w:lineRule="exact"/>
        <w:ind w:right="-425"/>
        <w:rPr>
          <w:sz w:val="14"/>
          <w:szCs w:val="14"/>
        </w:rPr>
      </w:pPr>
      <w:r w:rsidRPr="009B7A12">
        <w:rPr>
          <w:sz w:val="14"/>
          <w:szCs w:val="14"/>
        </w:rPr>
        <w:t xml:space="preserve">Για πληρέστερη </w:t>
      </w:r>
      <w:r w:rsidRPr="009136A3">
        <w:rPr>
          <w:sz w:val="14"/>
          <w:szCs w:val="14"/>
        </w:rPr>
        <w:t xml:space="preserve">αναφορά σχετικά με τα χρηματοοικονομικά στοιχεία και τους δείκτες </w:t>
      </w:r>
      <w:r w:rsidR="009136A3" w:rsidRPr="009136A3">
        <w:rPr>
          <w:sz w:val="14"/>
          <w:szCs w:val="14"/>
        </w:rPr>
        <w:t>του Ομίλου Πειραιώς</w:t>
      </w:r>
      <w:r w:rsidRPr="009136A3">
        <w:rPr>
          <w:sz w:val="14"/>
          <w:szCs w:val="14"/>
        </w:rPr>
        <w:t xml:space="preserve">, </w:t>
      </w:r>
      <w:proofErr w:type="spellStart"/>
      <w:r w:rsidRPr="009136A3">
        <w:rPr>
          <w:sz w:val="14"/>
          <w:szCs w:val="14"/>
        </w:rPr>
        <w:t>βλ.</w:t>
      </w:r>
      <w:r w:rsidR="009136A3" w:rsidRPr="009136A3">
        <w:rPr>
          <w:sz w:val="14"/>
          <w:szCs w:val="14"/>
        </w:rPr>
        <w:t>Παρουσίαση</w:t>
      </w:r>
      <w:proofErr w:type="spellEnd"/>
      <w:r w:rsidR="009136A3" w:rsidRPr="009136A3">
        <w:rPr>
          <w:sz w:val="14"/>
          <w:szCs w:val="14"/>
        </w:rPr>
        <w:t xml:space="preserve"> </w:t>
      </w:r>
      <w:hyperlink r:id="rId11" w:history="1">
        <w:r w:rsidR="009136A3" w:rsidRPr="009136A3">
          <w:rPr>
            <w:rStyle w:val="Hyperlink"/>
            <w:color w:val="000000"/>
            <w:sz w:val="14"/>
            <w:szCs w:val="14"/>
          </w:rPr>
          <w:t xml:space="preserve">2020 </w:t>
        </w:r>
        <w:r w:rsidR="009136A3" w:rsidRPr="009136A3">
          <w:rPr>
            <w:rStyle w:val="Hyperlink"/>
            <w:color w:val="000000"/>
            <w:sz w:val="14"/>
            <w:szCs w:val="14"/>
            <w:lang w:val="en-GB"/>
          </w:rPr>
          <w:t>Financial</w:t>
        </w:r>
        <w:r w:rsidR="009136A3" w:rsidRPr="009136A3">
          <w:rPr>
            <w:rStyle w:val="Hyperlink"/>
            <w:color w:val="000000"/>
            <w:sz w:val="14"/>
            <w:szCs w:val="14"/>
          </w:rPr>
          <w:t xml:space="preserve"> </w:t>
        </w:r>
        <w:r w:rsidR="009136A3" w:rsidRPr="009136A3">
          <w:rPr>
            <w:rStyle w:val="Hyperlink"/>
            <w:color w:val="000000"/>
            <w:sz w:val="14"/>
            <w:szCs w:val="14"/>
            <w:lang w:val="en-GB"/>
          </w:rPr>
          <w:t>Results</w:t>
        </w:r>
        <w:r w:rsidR="009136A3" w:rsidRPr="009136A3">
          <w:rPr>
            <w:rStyle w:val="Hyperlink"/>
            <w:color w:val="000000"/>
            <w:sz w:val="14"/>
            <w:szCs w:val="14"/>
          </w:rPr>
          <w:t xml:space="preserve"> &amp; </w:t>
        </w:r>
        <w:r w:rsidR="009136A3" w:rsidRPr="009136A3">
          <w:rPr>
            <w:rStyle w:val="Hyperlink"/>
            <w:color w:val="000000"/>
            <w:sz w:val="14"/>
            <w:szCs w:val="14"/>
            <w:lang w:val="en-GB"/>
          </w:rPr>
          <w:t>Strategy</w:t>
        </w:r>
        <w:r w:rsidR="009136A3" w:rsidRPr="009136A3">
          <w:rPr>
            <w:rStyle w:val="Hyperlink"/>
            <w:color w:val="000000"/>
            <w:sz w:val="14"/>
            <w:szCs w:val="14"/>
          </w:rPr>
          <w:t xml:space="preserve"> </w:t>
        </w:r>
        <w:r w:rsidR="009136A3" w:rsidRPr="009136A3">
          <w:rPr>
            <w:rStyle w:val="Hyperlink"/>
            <w:color w:val="000000"/>
            <w:sz w:val="14"/>
            <w:szCs w:val="14"/>
            <w:lang w:val="en-GB"/>
          </w:rPr>
          <w:t>Update</w:t>
        </w:r>
      </w:hyperlink>
      <w:r w:rsidR="009136A3" w:rsidRPr="009136A3">
        <w:rPr>
          <w:color w:val="000000"/>
          <w:sz w:val="14"/>
          <w:szCs w:val="14"/>
        </w:rPr>
        <w:t>.</w:t>
      </w:r>
      <w:r w:rsidR="009136A3">
        <w:rPr>
          <w:color w:val="000000"/>
          <w:sz w:val="16"/>
          <w:szCs w:val="16"/>
        </w:rPr>
        <w:t xml:space="preserve"> </w:t>
      </w:r>
      <w:r w:rsidR="00AC2977" w:rsidRPr="009136A3">
        <w:rPr>
          <w:sz w:val="14"/>
          <w:szCs w:val="14"/>
        </w:rPr>
        <w:t>Σημειώνεται</w:t>
      </w:r>
      <w:r w:rsidR="009136A3" w:rsidRPr="009136A3">
        <w:rPr>
          <w:sz w:val="14"/>
          <w:szCs w:val="14"/>
        </w:rPr>
        <w:t xml:space="preserve"> ότι η ετήσια Οικονομική Έκθεση 2020 θα είναι διαθέσιμη στον </w:t>
      </w:r>
      <w:proofErr w:type="spellStart"/>
      <w:r>
        <w:rPr>
          <w:sz w:val="14"/>
          <w:szCs w:val="14"/>
        </w:rPr>
        <w:t>ιστότοπο</w:t>
      </w:r>
      <w:proofErr w:type="spellEnd"/>
      <w:r>
        <w:rPr>
          <w:sz w:val="14"/>
          <w:szCs w:val="14"/>
        </w:rPr>
        <w:t xml:space="preserve"> της </w:t>
      </w:r>
      <w:r w:rsidR="009136A3">
        <w:rPr>
          <w:sz w:val="14"/>
          <w:szCs w:val="14"/>
        </w:rPr>
        <w:t>Εταιρείας από τις 29 Μαρτίου 2021</w:t>
      </w:r>
    </w:p>
    <w:p w14:paraId="2BEEDEB2" w14:textId="77777777" w:rsidR="005563F0" w:rsidRDefault="005563F0">
      <w:pPr>
        <w:rPr>
          <w:sz w:val="14"/>
          <w:szCs w:val="14"/>
        </w:rPr>
      </w:pPr>
      <w:r>
        <w:rPr>
          <w:sz w:val="14"/>
          <w:szCs w:val="14"/>
        </w:rPr>
        <w:br w:type="page"/>
      </w:r>
    </w:p>
    <w:p w14:paraId="05E20C83" w14:textId="4A635D12" w:rsidR="005C2FB3" w:rsidRDefault="005C2FB3" w:rsidP="005563F0">
      <w:pPr>
        <w:shd w:val="clear" w:color="auto" w:fill="FFFFFF" w:themeFill="background1"/>
        <w:tabs>
          <w:tab w:val="left" w:pos="9214"/>
        </w:tabs>
        <w:spacing w:after="40" w:line="300" w:lineRule="exact"/>
        <w:ind w:right="-425"/>
        <w:rPr>
          <w:sz w:val="14"/>
          <w:szCs w:val="14"/>
        </w:rPr>
      </w:pPr>
    </w:p>
    <w:p w14:paraId="4C06B9C2" w14:textId="76E5A512" w:rsidR="00ED3B80" w:rsidRPr="005C3466" w:rsidRDefault="00502B20" w:rsidP="00ED3B80">
      <w:pPr>
        <w:tabs>
          <w:tab w:val="left" w:pos="1701"/>
          <w:tab w:val="left" w:pos="8262"/>
        </w:tabs>
        <w:spacing w:before="120" w:after="0" w:line="264" w:lineRule="auto"/>
        <w:ind w:left="1701" w:right="-285"/>
        <w:contextualSpacing/>
        <w:jc w:val="both"/>
        <w:rPr>
          <w:rFonts w:eastAsiaTheme="minorEastAsia" w:cs="Calibri"/>
          <w:color w:val="FF0000"/>
          <w:sz w:val="26"/>
          <w:szCs w:val="26"/>
        </w:rPr>
      </w:pPr>
      <w:r>
        <w:rPr>
          <w:rFonts w:ascii="Calibri" w:eastAsiaTheme="minorEastAsia" w:hAnsi="Calibri" w:cs="Calibri"/>
          <w:noProof/>
          <w:color w:val="FF0000"/>
          <w:sz w:val="14"/>
          <w:szCs w:val="18"/>
          <w:lang w:eastAsia="el-GR"/>
        </w:rPr>
        <mc:AlternateContent>
          <mc:Choice Requires="wps">
            <w:drawing>
              <wp:anchor distT="0" distB="0" distL="114300" distR="114300" simplePos="0" relativeHeight="251786240" behindDoc="0" locked="0" layoutInCell="1" allowOverlap="1" wp14:anchorId="2DB3D077" wp14:editId="6B38F01A">
                <wp:simplePos x="0" y="0"/>
                <wp:positionH relativeFrom="column">
                  <wp:posOffset>2289479</wp:posOffset>
                </wp:positionH>
                <wp:positionV relativeFrom="paragraph">
                  <wp:posOffset>174625</wp:posOffset>
                </wp:positionV>
                <wp:extent cx="2533650" cy="2673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267335"/>
                        </a:xfrm>
                        <a:prstGeom prst="rect">
                          <a:avLst/>
                        </a:prstGeom>
                        <a:noFill/>
                        <a:ln w="6350">
                          <a:noFill/>
                        </a:ln>
                      </wps:spPr>
                      <wps:txbx>
                        <w:txbxContent>
                          <w:p w14:paraId="32440E71" w14:textId="77777777" w:rsidR="00337141" w:rsidRPr="00536060" w:rsidRDefault="00337141" w:rsidP="00AD7BFF">
                            <w:pPr>
                              <w:rPr>
                                <w:rFonts w:eastAsiaTheme="minorEastAsia" w:cs="Calibri"/>
                                <w:b/>
                                <w:bCs/>
                                <w:color w:val="6691AB"/>
                                <w:sz w:val="16"/>
                                <w:szCs w:val="18"/>
                              </w:rPr>
                            </w:pPr>
                            <w:r w:rsidRPr="00536060">
                              <w:rPr>
                                <w:rFonts w:eastAsiaTheme="minorEastAsia" w:cs="Calibri"/>
                                <w:b/>
                                <w:bCs/>
                                <w:color w:val="6691AB"/>
                                <w:sz w:val="16"/>
                                <w:szCs w:val="18"/>
                              </w:rPr>
                              <w:t>Καταθέσεις Ιδιωτικού Τομέα στην Ελλάδα (€δισ.)</w:t>
                            </w:r>
                          </w:p>
                          <w:p w14:paraId="77EAC82F" w14:textId="77777777" w:rsidR="00337141" w:rsidRPr="00437795" w:rsidRDefault="00337141" w:rsidP="00E67719">
                            <w:pPr>
                              <w:ind w:left="-142"/>
                              <w:rPr>
                                <w:rFonts w:eastAsiaTheme="minorEastAsia" w:cs="Calibri"/>
                                <w:b/>
                                <w:bCs/>
                                <w:color w:val="003C96"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3D077" id="_x0000_t202" coordsize="21600,21600" o:spt="202" path="m,l,21600r21600,l21600,xe">
                <v:stroke joinstyle="miter"/>
                <v:path gradientshapeok="t" o:connecttype="rect"/>
              </v:shapetype>
              <v:shape id="Text Box 35" o:spid="_x0000_s1031" type="#_x0000_t202" style="position:absolute;left:0;text-align:left;margin-left:180.25pt;margin-top:13.75pt;width:199.5pt;height:2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" filled="f" stroked="f" strokeweight=".5pt">
                <v:path arrowok="t"/>
                <v:textbox>
                  <w:txbxContent>
                    <w:p w14:paraId="32440E71" w14:textId="77777777" w:rsidR="00337141" w:rsidRPr="00536060" w:rsidRDefault="00337141" w:rsidP="00AD7BFF">
                      <w:pPr>
                        <w:rPr>
                          <w:rFonts w:eastAsiaTheme="minorEastAsia" w:cs="Calibri"/>
                          <w:b/>
                          <w:bCs/>
                          <w:color w:val="6691AB"/>
                          <w:sz w:val="16"/>
                          <w:szCs w:val="18"/>
                        </w:rPr>
                      </w:pPr>
                      <w:r w:rsidRPr="00536060">
                        <w:rPr>
                          <w:rFonts w:eastAsiaTheme="minorEastAsia" w:cs="Calibri"/>
                          <w:b/>
                          <w:bCs/>
                          <w:color w:val="6691AB"/>
                          <w:sz w:val="16"/>
                          <w:szCs w:val="18"/>
                        </w:rPr>
                        <w:t>Καταθέσεις Ιδιωτικού Τομέα στην Ελλάδα (€δισ.)</w:t>
                      </w:r>
                    </w:p>
                    <w:p w14:paraId="77EAC82F" w14:textId="77777777" w:rsidR="00337141" w:rsidRPr="00437795" w:rsidRDefault="00337141" w:rsidP="00E67719">
                      <w:pPr>
                        <w:ind w:left="-142"/>
                        <w:rPr>
                          <w:rFonts w:eastAsiaTheme="minorEastAsia" w:cs="Calibri"/>
                          <w:b/>
                          <w:bCs/>
                          <w:color w:val="003C96" w:themeColor="text2"/>
                          <w:sz w:val="18"/>
                          <w:szCs w:val="18"/>
                        </w:rPr>
                      </w:pPr>
                    </w:p>
                  </w:txbxContent>
                </v:textbox>
              </v:shape>
            </w:pict>
          </mc:Fallback>
        </mc:AlternateContent>
      </w:r>
      <w:r w:rsidR="005563F0">
        <w:rPr>
          <w:rFonts w:eastAsia="Times New Roman" w:cs="Calibri"/>
          <w:b/>
          <w:noProof/>
          <w:color w:val="FF0000"/>
          <w:sz w:val="28"/>
          <w:szCs w:val="28"/>
          <w:lang w:eastAsia="el-GR"/>
        </w:rPr>
        <mc:AlternateContent>
          <mc:Choice Requires="wps">
            <w:drawing>
              <wp:anchor distT="0" distB="0" distL="114300" distR="114300" simplePos="0" relativeHeight="251817984" behindDoc="1" locked="0" layoutInCell="1" allowOverlap="1" wp14:anchorId="4AF2E17D" wp14:editId="3C58742A">
                <wp:simplePos x="0" y="0"/>
                <wp:positionH relativeFrom="page">
                  <wp:posOffset>-8890</wp:posOffset>
                </wp:positionH>
                <wp:positionV relativeFrom="paragraph">
                  <wp:posOffset>22860</wp:posOffset>
                </wp:positionV>
                <wp:extent cx="6896100" cy="7789653"/>
                <wp:effectExtent l="0" t="0" r="0" b="1905"/>
                <wp:wrapNone/>
                <wp:docPr id="120"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6100" cy="7789653"/>
                        </a:xfrm>
                        <a:prstGeom prst="rect">
                          <a:avLst/>
                        </a:prstGeom>
                        <a:solidFill>
                          <a:srgbClr val="E6E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F7C64" w14:textId="77777777" w:rsidR="00337141" w:rsidRDefault="00337141" w:rsidP="005563F0">
                            <w:pPr>
                              <w:spacing w:before="120" w:after="140" w:line="300" w:lineRule="exact"/>
                              <w:ind w:left="-288"/>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2E17D" id="_x0000_s1032" style="position:absolute;left:0;text-align:left;margin-left:-.7pt;margin-top:1.8pt;width:543pt;height:613.35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" fillcolor="#e6e6e1" stroked="f">
                <o:lock v:ext="edit" aspectratio="t"/>
                <v:textbox>
                  <w:txbxContent>
                    <w:p w14:paraId="02EF7C64" w14:textId="77777777" w:rsidR="00337141" w:rsidRDefault="00337141" w:rsidP="005563F0">
                      <w:pPr>
                        <w:spacing w:before="120" w:after="140" w:line="300" w:lineRule="exact"/>
                        <w:ind w:left="-288"/>
                        <w:jc w:val="both"/>
                      </w:pPr>
                    </w:p>
                  </w:txbxContent>
                </v:textbox>
                <w10:wrap anchorx="page"/>
              </v:rect>
            </w:pict>
          </mc:Fallback>
        </mc:AlternateContent>
      </w:r>
      <w:r w:rsidR="00897B56">
        <w:rPr>
          <w:rFonts w:ascii="Calibri" w:eastAsiaTheme="minorEastAsia" w:hAnsi="Calibri" w:cs="Calibri"/>
          <w:noProof/>
          <w:color w:val="FF0000"/>
          <w:sz w:val="14"/>
          <w:szCs w:val="18"/>
          <w:lang w:eastAsia="el-GR"/>
        </w:rPr>
        <mc:AlternateContent>
          <mc:Choice Requires="wps">
            <w:drawing>
              <wp:anchor distT="0" distB="0" distL="114300" distR="114300" simplePos="0" relativeHeight="251784192" behindDoc="0" locked="0" layoutInCell="1" allowOverlap="1" wp14:anchorId="559FCAB4" wp14:editId="6E3030F5">
                <wp:simplePos x="0" y="0"/>
                <wp:positionH relativeFrom="column">
                  <wp:posOffset>-727271</wp:posOffset>
                </wp:positionH>
                <wp:positionV relativeFrom="paragraph">
                  <wp:posOffset>165832</wp:posOffset>
                </wp:positionV>
                <wp:extent cx="2082165" cy="2673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165" cy="267335"/>
                        </a:xfrm>
                        <a:prstGeom prst="rect">
                          <a:avLst/>
                        </a:prstGeom>
                        <a:noFill/>
                        <a:ln w="6350">
                          <a:noFill/>
                        </a:ln>
                      </wps:spPr>
                      <wps:txbx>
                        <w:txbxContent>
                          <w:p w14:paraId="1E908D19" w14:textId="77777777" w:rsidR="00337141" w:rsidRPr="00AD7BFF" w:rsidRDefault="00337141" w:rsidP="00AD7BFF">
                            <w:pPr>
                              <w:ind w:left="-142"/>
                              <w:rPr>
                                <w:rFonts w:eastAsiaTheme="minorEastAsia" w:cs="Calibri"/>
                                <w:b/>
                                <w:bCs/>
                                <w:color w:val="003C96" w:themeColor="text2"/>
                                <w:sz w:val="16"/>
                                <w:szCs w:val="18"/>
                              </w:rPr>
                            </w:pPr>
                            <w:r w:rsidRPr="00AD7BFF">
                              <w:rPr>
                                <w:rFonts w:eastAsiaTheme="minorEastAsia" w:cs="Calibri"/>
                                <w:b/>
                                <w:bCs/>
                                <w:color w:val="6691AB"/>
                                <w:sz w:val="16"/>
                                <w:szCs w:val="18"/>
                              </w:rPr>
                              <w:t xml:space="preserve">Νέες Εκταμιεύσεις Δανείων (€δισ.)                                               </w:t>
                            </w:r>
                            <w:r w:rsidRPr="00AD7BFF">
                              <w:rPr>
                                <w:rFonts w:eastAsiaTheme="minorEastAsia" w:cs="Calibri"/>
                                <w:b/>
                                <w:bCs/>
                                <w:color w:val="003C96" w:themeColor="text2"/>
                                <w:sz w:val="16"/>
                                <w:szCs w:val="18"/>
                              </w:rPr>
                              <w:t xml:space="preserve"> </w:t>
                            </w:r>
                          </w:p>
                          <w:p w14:paraId="2A81A87D" w14:textId="77777777" w:rsidR="00337141" w:rsidRPr="00AD7BFF" w:rsidRDefault="00337141" w:rsidP="00E67719">
                            <w:pPr>
                              <w:ind w:left="-142"/>
                              <w:rPr>
                                <w:rFonts w:eastAsiaTheme="minorEastAsia" w:cs="Calibri"/>
                                <w:b/>
                                <w:bCs/>
                                <w:color w:val="003C96" w:themeColor="text2"/>
                                <w:sz w:val="18"/>
                                <w:szCs w:val="18"/>
                              </w:rPr>
                            </w:pPr>
                            <w:r w:rsidRPr="00536060">
                              <w:rPr>
                                <w:rFonts w:eastAsiaTheme="minorEastAsia" w:cs="Calibri"/>
                                <w:b/>
                                <w:bCs/>
                                <w:color w:val="6691AB"/>
                                <w:sz w:val="16"/>
                                <w:szCs w:val="18"/>
                              </w:rPr>
                              <w:t>Νέες</w:t>
                            </w:r>
                            <w:r w:rsidRPr="00AD7BFF">
                              <w:rPr>
                                <w:rFonts w:eastAsiaTheme="minorEastAsia" w:cs="Calibri"/>
                                <w:b/>
                                <w:bCs/>
                                <w:color w:val="6691AB"/>
                                <w:sz w:val="16"/>
                                <w:szCs w:val="18"/>
                              </w:rPr>
                              <w:t xml:space="preserve"> </w:t>
                            </w:r>
                            <w:r w:rsidRPr="00536060">
                              <w:rPr>
                                <w:rFonts w:eastAsiaTheme="minorEastAsia" w:cs="Calibri"/>
                                <w:b/>
                                <w:bCs/>
                                <w:color w:val="6691AB"/>
                                <w:sz w:val="16"/>
                                <w:szCs w:val="18"/>
                              </w:rPr>
                              <w:t>Εκταμιεύσεις Δανείων</w:t>
                            </w:r>
                            <w:r w:rsidRPr="00AD7BFF">
                              <w:rPr>
                                <w:rFonts w:eastAsiaTheme="minorEastAsia" w:cs="Calibri"/>
                                <w:b/>
                                <w:bCs/>
                                <w:color w:val="6691AB"/>
                                <w:sz w:val="16"/>
                                <w:szCs w:val="18"/>
                              </w:rPr>
                              <w:t xml:space="preserve"> (€</w:t>
                            </w:r>
                            <w:r w:rsidRPr="00536060">
                              <w:rPr>
                                <w:rFonts w:eastAsiaTheme="minorEastAsia" w:cs="Calibri"/>
                                <w:b/>
                                <w:bCs/>
                                <w:color w:val="6691AB"/>
                                <w:sz w:val="16"/>
                                <w:szCs w:val="18"/>
                              </w:rPr>
                              <w:t>δισ.)</w:t>
                            </w:r>
                            <w:r w:rsidRPr="00AD7BFF">
                              <w:rPr>
                                <w:rFonts w:eastAsiaTheme="minorEastAsia" w:cs="Calibri"/>
                                <w:b/>
                                <w:bCs/>
                                <w:color w:val="6691AB"/>
                                <w:sz w:val="16"/>
                                <w:szCs w:val="18"/>
                              </w:rPr>
                              <w:t xml:space="preserve">               </w:t>
                            </w:r>
                            <w:r>
                              <w:rPr>
                                <w:rFonts w:eastAsiaTheme="minorEastAsia" w:cs="Calibri"/>
                                <w:b/>
                                <w:bCs/>
                                <w:color w:val="6691AB"/>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CAB4" id="Text Box 22" o:spid="_x0000_s1033" type="#_x0000_t202" style="position:absolute;left:0;text-align:left;margin-left:-57.25pt;margin-top:13.05pt;width:163.95pt;height:21.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" filled="f" stroked="f" strokeweight=".5pt">
                <v:path arrowok="t"/>
                <v:textbox>
                  <w:txbxContent>
                    <w:p w14:paraId="1E908D19" w14:textId="77777777" w:rsidR="00337141" w:rsidRPr="00AD7BFF" w:rsidRDefault="00337141" w:rsidP="00AD7BFF">
                      <w:pPr>
                        <w:ind w:left="-142"/>
                        <w:rPr>
                          <w:rFonts w:eastAsiaTheme="minorEastAsia" w:cs="Calibri"/>
                          <w:b/>
                          <w:bCs/>
                          <w:color w:val="003C96" w:themeColor="text2"/>
                          <w:sz w:val="16"/>
                          <w:szCs w:val="18"/>
                        </w:rPr>
                      </w:pPr>
                      <w:r w:rsidRPr="00AD7BFF">
                        <w:rPr>
                          <w:rFonts w:eastAsiaTheme="minorEastAsia" w:cs="Calibri"/>
                          <w:b/>
                          <w:bCs/>
                          <w:color w:val="6691AB"/>
                          <w:sz w:val="16"/>
                          <w:szCs w:val="18"/>
                        </w:rPr>
                        <w:t xml:space="preserve">Νέες Εκταμιεύσεις Δανείων (€δισ.)                                               </w:t>
                      </w:r>
                      <w:r w:rsidRPr="00AD7BFF">
                        <w:rPr>
                          <w:rFonts w:eastAsiaTheme="minorEastAsia" w:cs="Calibri"/>
                          <w:b/>
                          <w:bCs/>
                          <w:color w:val="003C96" w:themeColor="text2"/>
                          <w:sz w:val="16"/>
                          <w:szCs w:val="18"/>
                        </w:rPr>
                        <w:t xml:space="preserve"> </w:t>
                      </w:r>
                    </w:p>
                    <w:p w14:paraId="2A81A87D" w14:textId="77777777" w:rsidR="00337141" w:rsidRPr="00AD7BFF" w:rsidRDefault="00337141" w:rsidP="00E67719">
                      <w:pPr>
                        <w:ind w:left="-142"/>
                        <w:rPr>
                          <w:rFonts w:eastAsiaTheme="minorEastAsia" w:cs="Calibri"/>
                          <w:b/>
                          <w:bCs/>
                          <w:color w:val="003C96" w:themeColor="text2"/>
                          <w:sz w:val="18"/>
                          <w:szCs w:val="18"/>
                        </w:rPr>
                      </w:pPr>
                      <w:r w:rsidRPr="00536060">
                        <w:rPr>
                          <w:rFonts w:eastAsiaTheme="minorEastAsia" w:cs="Calibri"/>
                          <w:b/>
                          <w:bCs/>
                          <w:color w:val="6691AB"/>
                          <w:sz w:val="16"/>
                          <w:szCs w:val="18"/>
                        </w:rPr>
                        <w:t>Νέες</w:t>
                      </w:r>
                      <w:r w:rsidRPr="00AD7BFF">
                        <w:rPr>
                          <w:rFonts w:eastAsiaTheme="minorEastAsia" w:cs="Calibri"/>
                          <w:b/>
                          <w:bCs/>
                          <w:color w:val="6691AB"/>
                          <w:sz w:val="16"/>
                          <w:szCs w:val="18"/>
                        </w:rPr>
                        <w:t xml:space="preserve"> </w:t>
                      </w:r>
                      <w:r w:rsidRPr="00536060">
                        <w:rPr>
                          <w:rFonts w:eastAsiaTheme="minorEastAsia" w:cs="Calibri"/>
                          <w:b/>
                          <w:bCs/>
                          <w:color w:val="6691AB"/>
                          <w:sz w:val="16"/>
                          <w:szCs w:val="18"/>
                        </w:rPr>
                        <w:t>Εκταμιεύσεις Δανείων</w:t>
                      </w:r>
                      <w:r w:rsidRPr="00AD7BFF">
                        <w:rPr>
                          <w:rFonts w:eastAsiaTheme="minorEastAsia" w:cs="Calibri"/>
                          <w:b/>
                          <w:bCs/>
                          <w:color w:val="6691AB"/>
                          <w:sz w:val="16"/>
                          <w:szCs w:val="18"/>
                        </w:rPr>
                        <w:t xml:space="preserve"> (€</w:t>
                      </w:r>
                      <w:r w:rsidRPr="00536060">
                        <w:rPr>
                          <w:rFonts w:eastAsiaTheme="minorEastAsia" w:cs="Calibri"/>
                          <w:b/>
                          <w:bCs/>
                          <w:color w:val="6691AB"/>
                          <w:sz w:val="16"/>
                          <w:szCs w:val="18"/>
                        </w:rPr>
                        <w:t>δισ.)</w:t>
                      </w:r>
                      <w:r w:rsidRPr="00AD7BFF">
                        <w:rPr>
                          <w:rFonts w:eastAsiaTheme="minorEastAsia" w:cs="Calibri"/>
                          <w:b/>
                          <w:bCs/>
                          <w:color w:val="6691AB"/>
                          <w:sz w:val="16"/>
                          <w:szCs w:val="18"/>
                        </w:rPr>
                        <w:t xml:space="preserve">               </w:t>
                      </w:r>
                      <w:r>
                        <w:rPr>
                          <w:rFonts w:eastAsiaTheme="minorEastAsia" w:cs="Calibri"/>
                          <w:b/>
                          <w:bCs/>
                          <w:color w:val="6691AB"/>
                          <w:sz w:val="16"/>
                          <w:szCs w:val="18"/>
                        </w:rPr>
                        <w:t xml:space="preserve">                               </w:t>
                      </w:r>
                    </w:p>
                  </w:txbxContent>
                </v:textbox>
              </v:shape>
            </w:pict>
          </mc:Fallback>
        </mc:AlternateContent>
      </w:r>
    </w:p>
    <w:p w14:paraId="39111BD9" w14:textId="426D7CF8" w:rsidR="00E67719" w:rsidRPr="005C3466" w:rsidRDefault="00502B20" w:rsidP="00E67719">
      <w:pPr>
        <w:tabs>
          <w:tab w:val="left" w:pos="1701"/>
          <w:tab w:val="left" w:pos="8262"/>
        </w:tabs>
        <w:spacing w:before="120" w:after="0" w:line="264" w:lineRule="auto"/>
        <w:ind w:left="1701" w:right="-285"/>
        <w:contextualSpacing/>
        <w:jc w:val="both"/>
        <w:rPr>
          <w:rFonts w:eastAsiaTheme="minorEastAsia" w:cs="Calibri"/>
          <w:color w:val="FF0000"/>
          <w:sz w:val="26"/>
          <w:szCs w:val="26"/>
        </w:rPr>
      </w:pPr>
      <w:r w:rsidRPr="00CD2E41">
        <w:rPr>
          <w:rFonts w:eastAsiaTheme="minorEastAsia" w:cs="Calibri"/>
          <w:noProof/>
          <w:color w:val="FF0000"/>
          <w:sz w:val="26"/>
          <w:szCs w:val="26"/>
          <w:lang w:eastAsia="el-GR"/>
        </w:rPr>
        <w:drawing>
          <wp:anchor distT="0" distB="0" distL="114300" distR="114300" simplePos="0" relativeHeight="251822080" behindDoc="1" locked="0" layoutInCell="1" allowOverlap="1" wp14:anchorId="49D3117A" wp14:editId="53EDFF64">
            <wp:simplePos x="0" y="0"/>
            <wp:positionH relativeFrom="column">
              <wp:posOffset>2294614</wp:posOffset>
            </wp:positionH>
            <wp:positionV relativeFrom="paragraph">
              <wp:posOffset>211289</wp:posOffset>
            </wp:positionV>
            <wp:extent cx="1907540" cy="1374140"/>
            <wp:effectExtent l="0" t="0" r="0" b="0"/>
            <wp:wrapTight wrapText="bothSides">
              <wp:wrapPolygon edited="0">
                <wp:start x="18551" y="2096"/>
                <wp:lineTo x="15963" y="3294"/>
                <wp:lineTo x="15531" y="3893"/>
                <wp:lineTo x="15747" y="7486"/>
                <wp:lineTo x="3667" y="8983"/>
                <wp:lineTo x="1079" y="9882"/>
                <wp:lineTo x="1294" y="16170"/>
                <wp:lineTo x="2589" y="17368"/>
                <wp:lineTo x="1079" y="17368"/>
                <wp:lineTo x="1079" y="18865"/>
                <wp:lineTo x="21140" y="18865"/>
                <wp:lineTo x="21356" y="17368"/>
                <wp:lineTo x="19630" y="17368"/>
                <wp:lineTo x="21140" y="16170"/>
                <wp:lineTo x="20493" y="2096"/>
                <wp:lineTo x="18551" y="2096"/>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C470F" w:rsidRPr="00CD2E41">
        <w:rPr>
          <w:rFonts w:eastAsiaTheme="minorEastAsia" w:cs="Calibri"/>
          <w:noProof/>
          <w:color w:val="FF0000"/>
          <w:sz w:val="26"/>
          <w:szCs w:val="26"/>
          <w:lang w:eastAsia="el-GR"/>
        </w:rPr>
        <w:drawing>
          <wp:anchor distT="0" distB="0" distL="114300" distR="114300" simplePos="0" relativeHeight="251820032" behindDoc="1" locked="0" layoutInCell="1" allowOverlap="1" wp14:anchorId="0E5A6212" wp14:editId="7D5FFDCC">
            <wp:simplePos x="0" y="0"/>
            <wp:positionH relativeFrom="column">
              <wp:posOffset>-885825</wp:posOffset>
            </wp:positionH>
            <wp:positionV relativeFrom="paragraph">
              <wp:posOffset>161925</wp:posOffset>
            </wp:positionV>
            <wp:extent cx="1907540" cy="1374140"/>
            <wp:effectExtent l="0" t="0" r="0" b="0"/>
            <wp:wrapTight wrapText="bothSides">
              <wp:wrapPolygon edited="0">
                <wp:start x="18551" y="1497"/>
                <wp:lineTo x="16178" y="2695"/>
                <wp:lineTo x="4099" y="6887"/>
                <wp:lineTo x="1726" y="8085"/>
                <wp:lineTo x="1294" y="8983"/>
                <wp:lineTo x="1079" y="18865"/>
                <wp:lineTo x="21140" y="18865"/>
                <wp:lineTo x="21356" y="17667"/>
                <wp:lineTo x="20061" y="16470"/>
                <wp:lineTo x="21140" y="15871"/>
                <wp:lineTo x="20708" y="1497"/>
                <wp:lineTo x="18551" y="1497"/>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0661B89" w14:textId="00EA53EA" w:rsidR="00E67719" w:rsidRPr="005C3466" w:rsidRDefault="00E67719" w:rsidP="00E67719">
      <w:pPr>
        <w:tabs>
          <w:tab w:val="left" w:pos="3686"/>
          <w:tab w:val="left" w:pos="3828"/>
        </w:tabs>
        <w:rPr>
          <w:rFonts w:cs="Calibri"/>
          <w:color w:val="FF0000"/>
          <w:sz w:val="19"/>
          <w:szCs w:val="19"/>
        </w:rPr>
      </w:pPr>
      <w:r w:rsidRPr="005C3466">
        <w:rPr>
          <w:rFonts w:cs="Calibri"/>
          <w:color w:val="FF0000"/>
          <w:sz w:val="19"/>
          <w:szCs w:val="19"/>
        </w:rPr>
        <w:t xml:space="preserve">     </w:t>
      </w:r>
    </w:p>
    <w:p w14:paraId="483B5074"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268A4B62" w14:textId="77777777" w:rsidR="00E67719" w:rsidRPr="005C3466" w:rsidRDefault="00E67719" w:rsidP="00E67719">
      <w:pPr>
        <w:tabs>
          <w:tab w:val="left" w:pos="3119"/>
          <w:tab w:val="left" w:pos="3544"/>
          <w:tab w:val="left" w:pos="8262"/>
        </w:tabs>
        <w:spacing w:before="120" w:after="120" w:line="240" w:lineRule="auto"/>
        <w:ind w:left="-993" w:right="74"/>
        <w:contextualSpacing/>
        <w:jc w:val="both"/>
        <w:rPr>
          <w:rFonts w:eastAsiaTheme="minorEastAsia" w:cs="Calibri"/>
          <w:color w:val="FF0000"/>
          <w:sz w:val="28"/>
          <w:szCs w:val="28"/>
        </w:rPr>
      </w:pPr>
    </w:p>
    <w:p w14:paraId="227AAEE4"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579434D2" w14:textId="77777777" w:rsidR="00E67719" w:rsidRPr="005C3466" w:rsidRDefault="00E67719" w:rsidP="00E67719">
      <w:pPr>
        <w:tabs>
          <w:tab w:val="left" w:pos="8262"/>
        </w:tabs>
        <w:spacing w:before="120" w:after="120" w:line="240" w:lineRule="auto"/>
        <w:ind w:left="-993" w:right="74"/>
        <w:contextualSpacing/>
        <w:jc w:val="center"/>
        <w:rPr>
          <w:rFonts w:eastAsiaTheme="minorEastAsia" w:cs="Calibri"/>
          <w:color w:val="FF0000"/>
          <w:sz w:val="28"/>
          <w:szCs w:val="28"/>
        </w:rPr>
      </w:pPr>
    </w:p>
    <w:p w14:paraId="6BBB4DE1"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0BA798AB"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37988933"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71D44264" w14:textId="7367355E" w:rsidR="00E67719" w:rsidRPr="005C3466" w:rsidRDefault="00502B20" w:rsidP="00E67719">
      <w:pPr>
        <w:tabs>
          <w:tab w:val="left" w:pos="8262"/>
        </w:tabs>
        <w:spacing w:before="120" w:after="120" w:line="240" w:lineRule="auto"/>
        <w:ind w:left="-993" w:right="74"/>
        <w:contextualSpacing/>
        <w:jc w:val="both"/>
        <w:rPr>
          <w:rFonts w:eastAsiaTheme="minorEastAsia" w:cs="Calibri"/>
          <w:color w:val="FF0000"/>
          <w:sz w:val="28"/>
          <w:szCs w:val="28"/>
        </w:rPr>
      </w:pPr>
      <w:r>
        <w:rPr>
          <w:rFonts w:ascii="Calibri" w:eastAsiaTheme="minorEastAsia" w:hAnsi="Calibri" w:cs="Calibri"/>
          <w:noProof/>
          <w:color w:val="FF0000"/>
          <w:sz w:val="14"/>
          <w:szCs w:val="18"/>
          <w:lang w:eastAsia="el-GR"/>
        </w:rPr>
        <mc:AlternateContent>
          <mc:Choice Requires="wps">
            <w:drawing>
              <wp:anchor distT="0" distB="0" distL="114300" distR="114300" simplePos="0" relativeHeight="251782144" behindDoc="0" locked="0" layoutInCell="1" allowOverlap="1" wp14:anchorId="66BA8288" wp14:editId="07ED9733">
                <wp:simplePos x="0" y="0"/>
                <wp:positionH relativeFrom="column">
                  <wp:posOffset>-734364</wp:posOffset>
                </wp:positionH>
                <wp:positionV relativeFrom="paragraph">
                  <wp:posOffset>115570</wp:posOffset>
                </wp:positionV>
                <wp:extent cx="2286000" cy="2673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67335"/>
                        </a:xfrm>
                        <a:prstGeom prst="rect">
                          <a:avLst/>
                        </a:prstGeom>
                        <a:noFill/>
                        <a:ln w="6350">
                          <a:noFill/>
                        </a:ln>
                      </wps:spPr>
                      <wps:txbx>
                        <w:txbxContent>
                          <w:p w14:paraId="4336153A" w14:textId="77777777" w:rsidR="00337141" w:rsidRPr="00536060" w:rsidRDefault="00337141" w:rsidP="00AD7BFF">
                            <w:pPr>
                              <w:ind w:left="-142"/>
                              <w:rPr>
                                <w:rFonts w:eastAsiaTheme="minorEastAsia" w:cs="Calibri"/>
                                <w:b/>
                                <w:bCs/>
                                <w:color w:val="6691AB"/>
                                <w:sz w:val="16"/>
                                <w:szCs w:val="18"/>
                                <w:lang w:val="en-US"/>
                              </w:rPr>
                            </w:pPr>
                            <w:r w:rsidRPr="00536060">
                              <w:rPr>
                                <w:rFonts w:eastAsiaTheme="minorEastAsia" w:cs="Calibri"/>
                                <w:b/>
                                <w:bCs/>
                                <w:color w:val="6691AB"/>
                                <w:sz w:val="16"/>
                                <w:szCs w:val="18"/>
                              </w:rPr>
                              <w:t>Εξυπηρετούμενα Δάνεια</w:t>
                            </w:r>
                            <w:r w:rsidRPr="00536060">
                              <w:rPr>
                                <w:rFonts w:eastAsiaTheme="minorEastAsia" w:cs="Calibri"/>
                                <w:b/>
                                <w:bCs/>
                                <w:color w:val="6691AB"/>
                                <w:sz w:val="16"/>
                                <w:szCs w:val="18"/>
                                <w:lang w:val="en-US"/>
                              </w:rPr>
                              <w:t xml:space="preserve"> | </w:t>
                            </w:r>
                            <w:r w:rsidRPr="00536060">
                              <w:rPr>
                                <w:rFonts w:eastAsiaTheme="minorEastAsia" w:cs="Calibri"/>
                                <w:b/>
                                <w:bCs/>
                                <w:color w:val="6691AB"/>
                                <w:sz w:val="16"/>
                                <w:szCs w:val="18"/>
                              </w:rPr>
                              <w:t>Ελλάδα</w:t>
                            </w:r>
                            <w:r w:rsidRPr="00536060">
                              <w:rPr>
                                <w:rFonts w:eastAsiaTheme="minorEastAsia" w:cs="Calibri"/>
                                <w:b/>
                                <w:bCs/>
                                <w:color w:val="6691AB"/>
                                <w:sz w:val="16"/>
                                <w:szCs w:val="18"/>
                                <w:lang w:val="en-US"/>
                              </w:rPr>
                              <w:t xml:space="preserve"> (€</w:t>
                            </w:r>
                            <w:r w:rsidRPr="00536060">
                              <w:rPr>
                                <w:rFonts w:eastAsiaTheme="minorEastAsia" w:cs="Calibri"/>
                                <w:b/>
                                <w:bCs/>
                                <w:color w:val="6691AB"/>
                                <w:sz w:val="16"/>
                                <w:szCs w:val="18"/>
                              </w:rPr>
                              <w:t>δι</w:t>
                            </w:r>
                            <w:r>
                              <w:rPr>
                                <w:rFonts w:eastAsiaTheme="minorEastAsia" w:cs="Calibri"/>
                                <w:b/>
                                <w:bCs/>
                                <w:color w:val="6691AB"/>
                                <w:sz w:val="16"/>
                                <w:szCs w:val="18"/>
                              </w:rPr>
                              <w:t>σ</w:t>
                            </w:r>
                            <w:r w:rsidRPr="00536060">
                              <w:rPr>
                                <w:rFonts w:eastAsiaTheme="minorEastAsia" w:cs="Calibri"/>
                                <w:b/>
                                <w:bCs/>
                                <w:color w:val="6691AB"/>
                                <w:sz w:val="16"/>
                                <w:szCs w:val="18"/>
                              </w:rPr>
                              <w:t>.</w:t>
                            </w:r>
                            <w:r w:rsidRPr="00536060">
                              <w:rPr>
                                <w:rFonts w:eastAsiaTheme="minorEastAsia" w:cs="Calibri"/>
                                <w:b/>
                                <w:bCs/>
                                <w:color w:val="6691AB"/>
                                <w:sz w:val="16"/>
                                <w:szCs w:val="18"/>
                                <w:lang w:val="en-US"/>
                              </w:rPr>
                              <w:t xml:space="preserve">)                                                </w:t>
                            </w:r>
                          </w:p>
                          <w:p w14:paraId="0CD932E2" w14:textId="77777777" w:rsidR="00337141" w:rsidRPr="00F16CA1" w:rsidRDefault="00337141" w:rsidP="00E67719">
                            <w:pPr>
                              <w:ind w:left="-142"/>
                              <w:rPr>
                                <w:rFonts w:eastAsiaTheme="minorEastAsia" w:cs="Calibri"/>
                                <w:b/>
                                <w:bCs/>
                                <w:color w:val="003C96" w:themeColor="text2"/>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8288" id="Text Box 20" o:spid="_x0000_s1034" type="#_x0000_t202" style="position:absolute;left:0;text-align:left;margin-left:-57.8pt;margin-top:9.1pt;width:180pt;height:2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" filled="f" stroked="f" strokeweight=".5pt">
                <v:path arrowok="t"/>
                <v:textbox>
                  <w:txbxContent>
                    <w:p w14:paraId="4336153A" w14:textId="77777777" w:rsidR="00337141" w:rsidRPr="00536060" w:rsidRDefault="00337141" w:rsidP="00AD7BFF">
                      <w:pPr>
                        <w:ind w:left="-142"/>
                        <w:rPr>
                          <w:rFonts w:eastAsiaTheme="minorEastAsia" w:cs="Calibri"/>
                          <w:b/>
                          <w:bCs/>
                          <w:color w:val="6691AB"/>
                          <w:sz w:val="16"/>
                          <w:szCs w:val="18"/>
                          <w:lang w:val="en-US"/>
                        </w:rPr>
                      </w:pPr>
                      <w:r w:rsidRPr="00536060">
                        <w:rPr>
                          <w:rFonts w:eastAsiaTheme="minorEastAsia" w:cs="Calibri"/>
                          <w:b/>
                          <w:bCs/>
                          <w:color w:val="6691AB"/>
                          <w:sz w:val="16"/>
                          <w:szCs w:val="18"/>
                        </w:rPr>
                        <w:t>Εξυπηρετούμενα Δάνεια</w:t>
                      </w:r>
                      <w:r w:rsidRPr="00536060">
                        <w:rPr>
                          <w:rFonts w:eastAsiaTheme="minorEastAsia" w:cs="Calibri"/>
                          <w:b/>
                          <w:bCs/>
                          <w:color w:val="6691AB"/>
                          <w:sz w:val="16"/>
                          <w:szCs w:val="18"/>
                          <w:lang w:val="en-US"/>
                        </w:rPr>
                        <w:t xml:space="preserve"> | </w:t>
                      </w:r>
                      <w:r w:rsidRPr="00536060">
                        <w:rPr>
                          <w:rFonts w:eastAsiaTheme="minorEastAsia" w:cs="Calibri"/>
                          <w:b/>
                          <w:bCs/>
                          <w:color w:val="6691AB"/>
                          <w:sz w:val="16"/>
                          <w:szCs w:val="18"/>
                        </w:rPr>
                        <w:t>Ελλάδα</w:t>
                      </w:r>
                      <w:r w:rsidRPr="00536060">
                        <w:rPr>
                          <w:rFonts w:eastAsiaTheme="minorEastAsia" w:cs="Calibri"/>
                          <w:b/>
                          <w:bCs/>
                          <w:color w:val="6691AB"/>
                          <w:sz w:val="16"/>
                          <w:szCs w:val="18"/>
                          <w:lang w:val="en-US"/>
                        </w:rPr>
                        <w:t xml:space="preserve"> (€</w:t>
                      </w:r>
                      <w:r w:rsidRPr="00536060">
                        <w:rPr>
                          <w:rFonts w:eastAsiaTheme="minorEastAsia" w:cs="Calibri"/>
                          <w:b/>
                          <w:bCs/>
                          <w:color w:val="6691AB"/>
                          <w:sz w:val="16"/>
                          <w:szCs w:val="18"/>
                        </w:rPr>
                        <w:t>δι</w:t>
                      </w:r>
                      <w:r>
                        <w:rPr>
                          <w:rFonts w:eastAsiaTheme="minorEastAsia" w:cs="Calibri"/>
                          <w:b/>
                          <w:bCs/>
                          <w:color w:val="6691AB"/>
                          <w:sz w:val="16"/>
                          <w:szCs w:val="18"/>
                        </w:rPr>
                        <w:t>σ</w:t>
                      </w:r>
                      <w:r w:rsidRPr="00536060">
                        <w:rPr>
                          <w:rFonts w:eastAsiaTheme="minorEastAsia" w:cs="Calibri"/>
                          <w:b/>
                          <w:bCs/>
                          <w:color w:val="6691AB"/>
                          <w:sz w:val="16"/>
                          <w:szCs w:val="18"/>
                        </w:rPr>
                        <w:t>.</w:t>
                      </w:r>
                      <w:r w:rsidRPr="00536060">
                        <w:rPr>
                          <w:rFonts w:eastAsiaTheme="minorEastAsia" w:cs="Calibri"/>
                          <w:b/>
                          <w:bCs/>
                          <w:color w:val="6691AB"/>
                          <w:sz w:val="16"/>
                          <w:szCs w:val="18"/>
                          <w:lang w:val="en-US"/>
                        </w:rPr>
                        <w:t xml:space="preserve">)                                                </w:t>
                      </w:r>
                    </w:p>
                    <w:p w14:paraId="0CD932E2" w14:textId="77777777" w:rsidR="00337141" w:rsidRPr="00F16CA1" w:rsidRDefault="00337141" w:rsidP="00E67719">
                      <w:pPr>
                        <w:ind w:left="-142"/>
                        <w:rPr>
                          <w:rFonts w:eastAsiaTheme="minorEastAsia" w:cs="Calibri"/>
                          <w:b/>
                          <w:bCs/>
                          <w:color w:val="003C96" w:themeColor="text2"/>
                          <w:sz w:val="18"/>
                          <w:szCs w:val="18"/>
                          <w:lang w:val="en-US"/>
                        </w:rPr>
                      </w:pPr>
                    </w:p>
                  </w:txbxContent>
                </v:textbox>
              </v:shape>
            </w:pict>
          </mc:Fallback>
        </mc:AlternateContent>
      </w:r>
      <w:r w:rsidR="00835319">
        <w:rPr>
          <w:rFonts w:ascii="Calibri" w:eastAsiaTheme="minorEastAsia" w:hAnsi="Calibri" w:cs="Calibri"/>
          <w:noProof/>
          <w:color w:val="FF0000"/>
          <w:sz w:val="14"/>
          <w:szCs w:val="18"/>
          <w:lang w:eastAsia="el-GR"/>
        </w:rPr>
        <mc:AlternateContent>
          <mc:Choice Requires="wps">
            <w:drawing>
              <wp:anchor distT="0" distB="0" distL="114300" distR="114300" simplePos="0" relativeHeight="251781120" behindDoc="0" locked="0" layoutInCell="1" allowOverlap="1" wp14:anchorId="54B5FB29" wp14:editId="59774DD5">
                <wp:simplePos x="0" y="0"/>
                <wp:positionH relativeFrom="column">
                  <wp:posOffset>2386330</wp:posOffset>
                </wp:positionH>
                <wp:positionV relativeFrom="paragraph">
                  <wp:posOffset>96520</wp:posOffset>
                </wp:positionV>
                <wp:extent cx="2466975" cy="26733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267335"/>
                        </a:xfrm>
                        <a:prstGeom prst="rect">
                          <a:avLst/>
                        </a:prstGeom>
                        <a:noFill/>
                        <a:ln w="6350">
                          <a:noFill/>
                        </a:ln>
                      </wps:spPr>
                      <wps:txbx>
                        <w:txbxContent>
                          <w:p w14:paraId="12B6DDA3" w14:textId="77777777" w:rsidR="00337141" w:rsidRPr="008542CD" w:rsidRDefault="00337141" w:rsidP="00AD7BFF">
                            <w:pPr>
                              <w:ind w:left="-142"/>
                              <w:rPr>
                                <w:rFonts w:eastAsiaTheme="minorEastAsia" w:cs="Calibri"/>
                                <w:b/>
                                <w:bCs/>
                                <w:color w:val="6691AB"/>
                                <w:sz w:val="16"/>
                                <w:szCs w:val="18"/>
                              </w:rPr>
                            </w:pPr>
                            <w:r w:rsidRPr="00536060">
                              <w:rPr>
                                <w:rFonts w:eastAsiaTheme="minorEastAsia" w:cs="Calibri"/>
                                <w:b/>
                                <w:bCs/>
                                <w:color w:val="6691AB"/>
                                <w:sz w:val="16"/>
                                <w:szCs w:val="18"/>
                              </w:rPr>
                              <w:t>Μη Εξυπηρετούμενα Ανοίγματα</w:t>
                            </w:r>
                            <w:r w:rsidRPr="008542CD">
                              <w:rPr>
                                <w:rFonts w:eastAsiaTheme="minorEastAsia" w:cs="Calibri"/>
                                <w:b/>
                                <w:bCs/>
                                <w:color w:val="6691AB"/>
                                <w:sz w:val="16"/>
                                <w:szCs w:val="18"/>
                              </w:rPr>
                              <w:t xml:space="preserve"> | </w:t>
                            </w:r>
                            <w:r w:rsidRPr="00536060">
                              <w:rPr>
                                <w:rFonts w:eastAsiaTheme="minorEastAsia" w:cs="Calibri"/>
                                <w:b/>
                                <w:bCs/>
                                <w:color w:val="6691AB"/>
                                <w:sz w:val="16"/>
                                <w:szCs w:val="18"/>
                              </w:rPr>
                              <w:t>Ελλάδα</w:t>
                            </w:r>
                            <w:r w:rsidRPr="008542CD">
                              <w:rPr>
                                <w:rFonts w:eastAsiaTheme="minorEastAsia" w:cs="Calibri"/>
                                <w:b/>
                                <w:bCs/>
                                <w:color w:val="6691AB"/>
                                <w:sz w:val="16"/>
                                <w:szCs w:val="18"/>
                              </w:rPr>
                              <w:t xml:space="preserve"> (€</w:t>
                            </w:r>
                            <w:r w:rsidRPr="00536060">
                              <w:rPr>
                                <w:rFonts w:eastAsiaTheme="minorEastAsia" w:cs="Calibri"/>
                                <w:b/>
                                <w:bCs/>
                                <w:color w:val="6691AB"/>
                                <w:sz w:val="16"/>
                                <w:szCs w:val="18"/>
                              </w:rPr>
                              <w:t>δισ.</w:t>
                            </w:r>
                            <w:r w:rsidRPr="008542CD">
                              <w:rPr>
                                <w:rFonts w:eastAsiaTheme="minorEastAsia" w:cs="Calibri"/>
                                <w:b/>
                                <w:bCs/>
                                <w:color w:val="6691AB"/>
                                <w:sz w:val="16"/>
                                <w:szCs w:val="18"/>
                              </w:rPr>
                              <w:t xml:space="preserve">)                                                </w:t>
                            </w:r>
                          </w:p>
                          <w:p w14:paraId="0C617515" w14:textId="77777777" w:rsidR="00337141" w:rsidRPr="00835319" w:rsidRDefault="00337141" w:rsidP="00E67719">
                            <w:pPr>
                              <w:ind w:left="-142"/>
                              <w:rPr>
                                <w:rFonts w:eastAsiaTheme="minorEastAsia" w:cs="Calibri"/>
                                <w:b/>
                                <w:bCs/>
                                <w:color w:val="003C96"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FB29" id="Text Box 75" o:spid="_x0000_s1035" type="#_x0000_t202" style="position:absolute;left:0;text-align:left;margin-left:187.9pt;margin-top:7.6pt;width:194.25pt;height:2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" filled="f" stroked="f" strokeweight=".5pt">
                <v:path arrowok="t"/>
                <v:textbox>
                  <w:txbxContent>
                    <w:p w14:paraId="12B6DDA3" w14:textId="77777777" w:rsidR="00337141" w:rsidRPr="008542CD" w:rsidRDefault="00337141" w:rsidP="00AD7BFF">
                      <w:pPr>
                        <w:ind w:left="-142"/>
                        <w:rPr>
                          <w:rFonts w:eastAsiaTheme="minorEastAsia" w:cs="Calibri"/>
                          <w:b/>
                          <w:bCs/>
                          <w:color w:val="6691AB"/>
                          <w:sz w:val="16"/>
                          <w:szCs w:val="18"/>
                        </w:rPr>
                      </w:pPr>
                      <w:r w:rsidRPr="00536060">
                        <w:rPr>
                          <w:rFonts w:eastAsiaTheme="minorEastAsia" w:cs="Calibri"/>
                          <w:b/>
                          <w:bCs/>
                          <w:color w:val="6691AB"/>
                          <w:sz w:val="16"/>
                          <w:szCs w:val="18"/>
                        </w:rPr>
                        <w:t>Μη Εξυπηρετούμενα Ανοίγματα</w:t>
                      </w:r>
                      <w:r w:rsidRPr="008542CD">
                        <w:rPr>
                          <w:rFonts w:eastAsiaTheme="minorEastAsia" w:cs="Calibri"/>
                          <w:b/>
                          <w:bCs/>
                          <w:color w:val="6691AB"/>
                          <w:sz w:val="16"/>
                          <w:szCs w:val="18"/>
                        </w:rPr>
                        <w:t xml:space="preserve"> | </w:t>
                      </w:r>
                      <w:r w:rsidRPr="00536060">
                        <w:rPr>
                          <w:rFonts w:eastAsiaTheme="minorEastAsia" w:cs="Calibri"/>
                          <w:b/>
                          <w:bCs/>
                          <w:color w:val="6691AB"/>
                          <w:sz w:val="16"/>
                          <w:szCs w:val="18"/>
                        </w:rPr>
                        <w:t>Ελλάδα</w:t>
                      </w:r>
                      <w:r w:rsidRPr="008542CD">
                        <w:rPr>
                          <w:rFonts w:eastAsiaTheme="minorEastAsia" w:cs="Calibri"/>
                          <w:b/>
                          <w:bCs/>
                          <w:color w:val="6691AB"/>
                          <w:sz w:val="16"/>
                          <w:szCs w:val="18"/>
                        </w:rPr>
                        <w:t xml:space="preserve"> (€</w:t>
                      </w:r>
                      <w:r w:rsidRPr="00536060">
                        <w:rPr>
                          <w:rFonts w:eastAsiaTheme="minorEastAsia" w:cs="Calibri"/>
                          <w:b/>
                          <w:bCs/>
                          <w:color w:val="6691AB"/>
                          <w:sz w:val="16"/>
                          <w:szCs w:val="18"/>
                        </w:rPr>
                        <w:t>δισ.</w:t>
                      </w:r>
                      <w:r w:rsidRPr="008542CD">
                        <w:rPr>
                          <w:rFonts w:eastAsiaTheme="minorEastAsia" w:cs="Calibri"/>
                          <w:b/>
                          <w:bCs/>
                          <w:color w:val="6691AB"/>
                          <w:sz w:val="16"/>
                          <w:szCs w:val="18"/>
                        </w:rPr>
                        <w:t xml:space="preserve">)                                                </w:t>
                      </w:r>
                    </w:p>
                    <w:p w14:paraId="0C617515" w14:textId="77777777" w:rsidR="00337141" w:rsidRPr="00835319" w:rsidRDefault="00337141" w:rsidP="00E67719">
                      <w:pPr>
                        <w:ind w:left="-142"/>
                        <w:rPr>
                          <w:rFonts w:eastAsiaTheme="minorEastAsia" w:cs="Calibri"/>
                          <w:b/>
                          <w:bCs/>
                          <w:color w:val="003C96" w:themeColor="text2"/>
                          <w:sz w:val="18"/>
                          <w:szCs w:val="18"/>
                        </w:rPr>
                      </w:pPr>
                    </w:p>
                  </w:txbxContent>
                </v:textbox>
              </v:shape>
            </w:pict>
          </mc:Fallback>
        </mc:AlternateContent>
      </w:r>
    </w:p>
    <w:p w14:paraId="7703E080" w14:textId="77777777" w:rsidR="00E67719" w:rsidRPr="005C3466" w:rsidRDefault="00FC470F" w:rsidP="00E67719">
      <w:pPr>
        <w:tabs>
          <w:tab w:val="left" w:pos="8262"/>
        </w:tabs>
        <w:spacing w:before="120" w:after="120" w:line="240" w:lineRule="auto"/>
        <w:ind w:left="-993" w:right="74"/>
        <w:contextualSpacing/>
        <w:jc w:val="both"/>
        <w:rPr>
          <w:rFonts w:eastAsiaTheme="minorEastAsia" w:cs="Calibri"/>
          <w:color w:val="FF0000"/>
          <w:sz w:val="28"/>
          <w:szCs w:val="28"/>
        </w:rPr>
      </w:pPr>
      <w:r w:rsidRPr="00CD2E41">
        <w:rPr>
          <w:rFonts w:eastAsiaTheme="minorEastAsia" w:cs="Calibri"/>
          <w:noProof/>
          <w:color w:val="FF0000"/>
          <w:sz w:val="28"/>
          <w:szCs w:val="28"/>
          <w:lang w:eastAsia="el-GR"/>
        </w:rPr>
        <w:drawing>
          <wp:anchor distT="0" distB="0" distL="114300" distR="114300" simplePos="0" relativeHeight="251826176" behindDoc="0" locked="0" layoutInCell="1" allowOverlap="1" wp14:anchorId="432B804F" wp14:editId="76E6357B">
            <wp:simplePos x="0" y="0"/>
            <wp:positionH relativeFrom="page">
              <wp:posOffset>4121785</wp:posOffset>
            </wp:positionH>
            <wp:positionV relativeFrom="page">
              <wp:posOffset>4223385</wp:posOffset>
            </wp:positionV>
            <wp:extent cx="2231390" cy="1502410"/>
            <wp:effectExtent l="0" t="0" r="0" b="0"/>
            <wp:wrapNone/>
            <wp:docPr id="15"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CD2E41">
        <w:rPr>
          <w:rFonts w:eastAsiaTheme="minorEastAsia" w:cs="Calibri"/>
          <w:noProof/>
          <w:color w:val="FF0000"/>
          <w:sz w:val="28"/>
          <w:szCs w:val="28"/>
          <w:lang w:eastAsia="el-GR"/>
        </w:rPr>
        <w:drawing>
          <wp:anchor distT="0" distB="0" distL="114300" distR="114300" simplePos="0" relativeHeight="251824128" behindDoc="0" locked="0" layoutInCell="1" allowOverlap="1" wp14:anchorId="789EA744" wp14:editId="7983D802">
            <wp:simplePos x="0" y="0"/>
            <wp:positionH relativeFrom="page">
              <wp:posOffset>1017270</wp:posOffset>
            </wp:positionH>
            <wp:positionV relativeFrom="page">
              <wp:posOffset>4263390</wp:posOffset>
            </wp:positionV>
            <wp:extent cx="2231390" cy="1502410"/>
            <wp:effectExtent l="0" t="0" r="0" b="0"/>
            <wp:wrapNone/>
            <wp:docPr id="16"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AC8772C"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2790C9BF"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78987A7A" w14:textId="77777777" w:rsidR="00E67719" w:rsidRPr="005C3466" w:rsidRDefault="00E67719" w:rsidP="00E67719">
      <w:pPr>
        <w:tabs>
          <w:tab w:val="left" w:pos="8262"/>
        </w:tabs>
        <w:spacing w:before="120" w:after="120" w:line="240" w:lineRule="auto"/>
        <w:ind w:left="-993" w:right="74"/>
        <w:contextualSpacing/>
        <w:jc w:val="both"/>
        <w:rPr>
          <w:rFonts w:eastAsiaTheme="minorEastAsia" w:cs="Calibri"/>
          <w:color w:val="FF0000"/>
          <w:sz w:val="28"/>
          <w:szCs w:val="28"/>
        </w:rPr>
      </w:pPr>
    </w:p>
    <w:p w14:paraId="0C9F8F36" w14:textId="04BE197C" w:rsidR="00E67719" w:rsidRPr="005C3466" w:rsidRDefault="00502B20" w:rsidP="00E67719">
      <w:pPr>
        <w:rPr>
          <w:rFonts w:eastAsiaTheme="minorEastAsia" w:cs="Calibri"/>
          <w:color w:val="FF0000"/>
          <w:sz w:val="28"/>
          <w:szCs w:val="28"/>
        </w:rPr>
      </w:pPr>
      <w:r>
        <w:rPr>
          <w:rFonts w:ascii="Calibri" w:eastAsiaTheme="minorEastAsia" w:hAnsi="Calibri" w:cs="Calibri"/>
          <w:noProof/>
          <w:color w:val="FF0000"/>
          <w:sz w:val="14"/>
          <w:szCs w:val="18"/>
          <w:lang w:eastAsia="el-GR"/>
        </w:rPr>
        <mc:AlternateContent>
          <mc:Choice Requires="wps">
            <w:drawing>
              <wp:anchor distT="0" distB="0" distL="114300" distR="114300" simplePos="0" relativeHeight="251785216" behindDoc="0" locked="0" layoutInCell="1" allowOverlap="1" wp14:anchorId="22E9B280" wp14:editId="10BC29D4">
                <wp:simplePos x="0" y="0"/>
                <wp:positionH relativeFrom="column">
                  <wp:posOffset>-816306</wp:posOffset>
                </wp:positionH>
                <wp:positionV relativeFrom="paragraph">
                  <wp:posOffset>1636395</wp:posOffset>
                </wp:positionV>
                <wp:extent cx="2559050" cy="2673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050" cy="267335"/>
                        </a:xfrm>
                        <a:prstGeom prst="rect">
                          <a:avLst/>
                        </a:prstGeom>
                        <a:noFill/>
                        <a:ln w="6350">
                          <a:noFill/>
                        </a:ln>
                      </wps:spPr>
                      <wps:txbx>
                        <w:txbxContent>
                          <w:p w14:paraId="0D2D0604" w14:textId="77777777" w:rsidR="00337141" w:rsidRPr="00536060" w:rsidRDefault="00337141" w:rsidP="00AD7BFF">
                            <w:pPr>
                              <w:suppressOverlap/>
                              <w:rPr>
                                <w:rFonts w:eastAsiaTheme="minorEastAsia" w:cs="Calibri"/>
                                <w:b/>
                                <w:bCs/>
                                <w:color w:val="6691AB"/>
                                <w:sz w:val="16"/>
                                <w:szCs w:val="18"/>
                              </w:rPr>
                            </w:pPr>
                            <w:r w:rsidRPr="00536060">
                              <w:rPr>
                                <w:rFonts w:eastAsiaTheme="minorEastAsia" w:cs="Calibri"/>
                                <w:b/>
                                <w:bCs/>
                                <w:color w:val="6691AB"/>
                                <w:sz w:val="16"/>
                                <w:szCs w:val="18"/>
                              </w:rPr>
                              <w:t>Βασικά Επαναλαμβανόμενα Τραπεζικά Έσοδα (€εκατ.)</w:t>
                            </w:r>
                          </w:p>
                          <w:p w14:paraId="134C705E" w14:textId="77777777" w:rsidR="00337141" w:rsidRPr="00536060" w:rsidRDefault="00337141" w:rsidP="00AD7BFF">
                            <w:pPr>
                              <w:ind w:left="-142"/>
                              <w:rPr>
                                <w:rFonts w:eastAsiaTheme="minorEastAsia" w:cs="Calibri"/>
                                <w:b/>
                                <w:bCs/>
                                <w:color w:val="003C96" w:themeColor="text2"/>
                                <w:sz w:val="18"/>
                                <w:szCs w:val="18"/>
                              </w:rPr>
                            </w:pPr>
                          </w:p>
                          <w:p w14:paraId="767F805D" w14:textId="77777777" w:rsidR="00337141" w:rsidRPr="00AD7BFF" w:rsidRDefault="00337141" w:rsidP="00E67719">
                            <w:pPr>
                              <w:ind w:left="-142"/>
                              <w:rPr>
                                <w:rFonts w:eastAsiaTheme="minorEastAsia" w:cs="Calibri"/>
                                <w:b/>
                                <w:bCs/>
                                <w:color w:val="003C96"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B280" id="Text Box 34" o:spid="_x0000_s1036" type="#_x0000_t202" style="position:absolute;margin-left:-64.3pt;margin-top:128.85pt;width:201.5pt;height:21.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" filled="f" stroked="f" strokeweight=".5pt">
                <v:path arrowok="t"/>
                <v:textbox>
                  <w:txbxContent>
                    <w:p w14:paraId="0D2D0604" w14:textId="77777777" w:rsidR="00337141" w:rsidRPr="00536060" w:rsidRDefault="00337141" w:rsidP="00AD7BFF">
                      <w:pPr>
                        <w:suppressOverlap/>
                        <w:rPr>
                          <w:rFonts w:eastAsiaTheme="minorEastAsia" w:cs="Calibri"/>
                          <w:b/>
                          <w:bCs/>
                          <w:color w:val="6691AB"/>
                          <w:sz w:val="16"/>
                          <w:szCs w:val="18"/>
                        </w:rPr>
                      </w:pPr>
                      <w:r w:rsidRPr="00536060">
                        <w:rPr>
                          <w:rFonts w:eastAsiaTheme="minorEastAsia" w:cs="Calibri"/>
                          <w:b/>
                          <w:bCs/>
                          <w:color w:val="6691AB"/>
                          <w:sz w:val="16"/>
                          <w:szCs w:val="18"/>
                        </w:rPr>
                        <w:t>Βασικά Επαναλαμβανόμενα Τραπεζικά Έσοδα (€εκατ.)</w:t>
                      </w:r>
                    </w:p>
                    <w:p w14:paraId="134C705E" w14:textId="77777777" w:rsidR="00337141" w:rsidRPr="00536060" w:rsidRDefault="00337141" w:rsidP="00AD7BFF">
                      <w:pPr>
                        <w:ind w:left="-142"/>
                        <w:rPr>
                          <w:rFonts w:eastAsiaTheme="minorEastAsia" w:cs="Calibri"/>
                          <w:b/>
                          <w:bCs/>
                          <w:color w:val="003C96" w:themeColor="text2"/>
                          <w:sz w:val="18"/>
                          <w:szCs w:val="18"/>
                        </w:rPr>
                      </w:pPr>
                    </w:p>
                    <w:p w14:paraId="767F805D" w14:textId="77777777" w:rsidR="00337141" w:rsidRPr="00AD7BFF" w:rsidRDefault="00337141" w:rsidP="00E67719">
                      <w:pPr>
                        <w:ind w:left="-142"/>
                        <w:rPr>
                          <w:rFonts w:eastAsiaTheme="minorEastAsia" w:cs="Calibri"/>
                          <w:b/>
                          <w:bCs/>
                          <w:color w:val="003C96" w:themeColor="text2"/>
                          <w:sz w:val="18"/>
                          <w:szCs w:val="18"/>
                        </w:rPr>
                      </w:pPr>
                    </w:p>
                  </w:txbxContent>
                </v:textbox>
              </v:shape>
            </w:pict>
          </mc:Fallback>
        </mc:AlternateContent>
      </w:r>
      <w:r w:rsidR="00BB6F70">
        <w:rPr>
          <w:rFonts w:ascii="Calibri" w:eastAsiaTheme="minorEastAsia" w:hAnsi="Calibri" w:cs="Calibri"/>
          <w:noProof/>
          <w:color w:val="FF0000"/>
          <w:sz w:val="14"/>
          <w:szCs w:val="18"/>
          <w:lang w:eastAsia="el-GR"/>
        </w:rPr>
        <mc:AlternateContent>
          <mc:Choice Requires="wps">
            <w:drawing>
              <wp:anchor distT="0" distB="0" distL="114300" distR="114300" simplePos="0" relativeHeight="251783168" behindDoc="0" locked="0" layoutInCell="1" allowOverlap="1" wp14:anchorId="66C47B38" wp14:editId="0BE46C49">
                <wp:simplePos x="0" y="0"/>
                <wp:positionH relativeFrom="column">
                  <wp:posOffset>2282190</wp:posOffset>
                </wp:positionH>
                <wp:positionV relativeFrom="paragraph">
                  <wp:posOffset>1623364</wp:posOffset>
                </wp:positionV>
                <wp:extent cx="2262250"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2250" cy="457200"/>
                        </a:xfrm>
                        <a:prstGeom prst="rect">
                          <a:avLst/>
                        </a:prstGeom>
                        <a:noFill/>
                        <a:ln w="6350">
                          <a:noFill/>
                        </a:ln>
                      </wps:spPr>
                      <wps:txbx>
                        <w:txbxContent>
                          <w:p w14:paraId="212E83A6" w14:textId="77777777" w:rsidR="00337141" w:rsidRPr="00536060" w:rsidRDefault="00337141" w:rsidP="00AD7BFF">
                            <w:pPr>
                              <w:rPr>
                                <w:rFonts w:eastAsiaTheme="minorEastAsia" w:cs="Calibri"/>
                                <w:b/>
                                <w:bCs/>
                                <w:color w:val="6691AB"/>
                                <w:sz w:val="16"/>
                                <w:szCs w:val="18"/>
                                <w:lang w:val="en-US"/>
                              </w:rPr>
                            </w:pPr>
                            <w:r w:rsidRPr="00536060">
                              <w:rPr>
                                <w:rFonts w:eastAsiaTheme="minorEastAsia" w:cs="Calibri"/>
                                <w:b/>
                                <w:bCs/>
                                <w:color w:val="6691AB"/>
                                <w:sz w:val="16"/>
                                <w:szCs w:val="18"/>
                              </w:rPr>
                              <w:t>Επαναλαμβανόμενα Λειτουργικά Έξοδα</w:t>
                            </w:r>
                            <w:r w:rsidRPr="00536060">
                              <w:rPr>
                                <w:rFonts w:eastAsiaTheme="minorEastAsia" w:cs="Calibri"/>
                                <w:b/>
                                <w:bCs/>
                                <w:color w:val="6691AB"/>
                                <w:sz w:val="16"/>
                                <w:szCs w:val="18"/>
                                <w:lang w:val="en-US"/>
                              </w:rPr>
                              <w:t xml:space="preserve"> (€</w:t>
                            </w:r>
                            <w:r w:rsidRPr="00536060">
                              <w:rPr>
                                <w:rFonts w:eastAsiaTheme="minorEastAsia" w:cs="Calibri"/>
                                <w:b/>
                                <w:bCs/>
                                <w:color w:val="6691AB"/>
                                <w:sz w:val="16"/>
                                <w:szCs w:val="18"/>
                              </w:rPr>
                              <w:t>εκατ.</w:t>
                            </w:r>
                            <w:r w:rsidRPr="00536060">
                              <w:rPr>
                                <w:rFonts w:eastAsiaTheme="minorEastAsia" w:cs="Calibri"/>
                                <w:b/>
                                <w:bCs/>
                                <w:color w:val="6691AB"/>
                                <w:sz w:val="16"/>
                                <w:szCs w:val="18"/>
                                <w:lang w:val="en-US"/>
                              </w:rPr>
                              <w:t xml:space="preserve">)                                         </w:t>
                            </w:r>
                          </w:p>
                          <w:p w14:paraId="107D4203" w14:textId="77777777" w:rsidR="00337141" w:rsidRPr="00E8444D" w:rsidRDefault="00337141" w:rsidP="00E67719">
                            <w:pPr>
                              <w:rPr>
                                <w:rFonts w:eastAsiaTheme="minorEastAsia" w:cs="Calibri"/>
                                <w:b/>
                                <w:bCs/>
                                <w:color w:val="003C96"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47B38" id="Text Box 17" o:spid="_x0000_s1037" type="#_x0000_t202" style="position:absolute;margin-left:179.7pt;margin-top:127.8pt;width:178.15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" filled="f" stroked="f" strokeweight=".5pt">
                <v:path arrowok="t"/>
                <v:textbox>
                  <w:txbxContent>
                    <w:p w14:paraId="212E83A6" w14:textId="77777777" w:rsidR="00337141" w:rsidRPr="00536060" w:rsidRDefault="00337141" w:rsidP="00AD7BFF">
                      <w:pPr>
                        <w:rPr>
                          <w:rFonts w:eastAsiaTheme="minorEastAsia" w:cs="Calibri"/>
                          <w:b/>
                          <w:bCs/>
                          <w:color w:val="6691AB"/>
                          <w:sz w:val="16"/>
                          <w:szCs w:val="18"/>
                          <w:lang w:val="en-US"/>
                        </w:rPr>
                      </w:pPr>
                      <w:r w:rsidRPr="00536060">
                        <w:rPr>
                          <w:rFonts w:eastAsiaTheme="minorEastAsia" w:cs="Calibri"/>
                          <w:b/>
                          <w:bCs/>
                          <w:color w:val="6691AB"/>
                          <w:sz w:val="16"/>
                          <w:szCs w:val="18"/>
                        </w:rPr>
                        <w:t>Επαναλαμβανόμενα Λειτουργικά Έξοδα</w:t>
                      </w:r>
                      <w:r w:rsidRPr="00536060">
                        <w:rPr>
                          <w:rFonts w:eastAsiaTheme="minorEastAsia" w:cs="Calibri"/>
                          <w:b/>
                          <w:bCs/>
                          <w:color w:val="6691AB"/>
                          <w:sz w:val="16"/>
                          <w:szCs w:val="18"/>
                          <w:lang w:val="en-US"/>
                        </w:rPr>
                        <w:t xml:space="preserve"> (€</w:t>
                      </w:r>
                      <w:r w:rsidRPr="00536060">
                        <w:rPr>
                          <w:rFonts w:eastAsiaTheme="minorEastAsia" w:cs="Calibri"/>
                          <w:b/>
                          <w:bCs/>
                          <w:color w:val="6691AB"/>
                          <w:sz w:val="16"/>
                          <w:szCs w:val="18"/>
                        </w:rPr>
                        <w:t>εκατ.</w:t>
                      </w:r>
                      <w:r w:rsidRPr="00536060">
                        <w:rPr>
                          <w:rFonts w:eastAsiaTheme="minorEastAsia" w:cs="Calibri"/>
                          <w:b/>
                          <w:bCs/>
                          <w:color w:val="6691AB"/>
                          <w:sz w:val="16"/>
                          <w:szCs w:val="18"/>
                          <w:lang w:val="en-US"/>
                        </w:rPr>
                        <w:t xml:space="preserve">)                                         </w:t>
                      </w:r>
                    </w:p>
                    <w:p w14:paraId="107D4203" w14:textId="77777777" w:rsidR="00337141" w:rsidRPr="00E8444D" w:rsidRDefault="00337141" w:rsidP="00E67719">
                      <w:pPr>
                        <w:rPr>
                          <w:rFonts w:eastAsiaTheme="minorEastAsia" w:cs="Calibri"/>
                          <w:b/>
                          <w:bCs/>
                          <w:color w:val="003C96" w:themeColor="text2"/>
                          <w:sz w:val="18"/>
                          <w:szCs w:val="18"/>
                        </w:rPr>
                      </w:pPr>
                    </w:p>
                  </w:txbxContent>
                </v:textbox>
              </v:shape>
            </w:pict>
          </mc:Fallback>
        </mc:AlternateContent>
      </w:r>
      <w:r w:rsidR="00FC470F" w:rsidRPr="00CD2E41">
        <w:rPr>
          <w:rFonts w:eastAsiaTheme="minorEastAsia" w:cs="Calibri"/>
          <w:b/>
          <w:noProof/>
          <w:color w:val="FF0000"/>
          <w:sz w:val="16"/>
          <w:szCs w:val="16"/>
          <w:lang w:eastAsia="el-GR"/>
        </w:rPr>
        <w:drawing>
          <wp:anchor distT="0" distB="0" distL="114300" distR="114300" simplePos="0" relativeHeight="251830272" behindDoc="0" locked="0" layoutInCell="1" allowOverlap="1" wp14:anchorId="5202ABC1" wp14:editId="4B83DBA9">
            <wp:simplePos x="0" y="0"/>
            <wp:positionH relativeFrom="page">
              <wp:posOffset>4023995</wp:posOffset>
            </wp:positionH>
            <wp:positionV relativeFrom="page">
              <wp:posOffset>7129145</wp:posOffset>
            </wp:positionV>
            <wp:extent cx="2231390" cy="1502410"/>
            <wp:effectExtent l="0" t="0" r="0" b="0"/>
            <wp:wrapNone/>
            <wp:docPr id="10"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C470F" w:rsidRPr="00CD2E41">
        <w:rPr>
          <w:rFonts w:eastAsiaTheme="minorEastAsia" w:cs="Calibri"/>
          <w:b/>
          <w:noProof/>
          <w:color w:val="FF0000"/>
          <w:sz w:val="16"/>
          <w:szCs w:val="16"/>
          <w:lang w:eastAsia="el-GR"/>
        </w:rPr>
        <w:drawing>
          <wp:anchor distT="0" distB="0" distL="114300" distR="114300" simplePos="0" relativeHeight="251828224" behindDoc="0" locked="0" layoutInCell="1" allowOverlap="1" wp14:anchorId="1C8EC65A" wp14:editId="66AECB1C">
            <wp:simplePos x="0" y="0"/>
            <wp:positionH relativeFrom="page">
              <wp:posOffset>1153160</wp:posOffset>
            </wp:positionH>
            <wp:positionV relativeFrom="page">
              <wp:posOffset>7103110</wp:posOffset>
            </wp:positionV>
            <wp:extent cx="2231390" cy="1502410"/>
            <wp:effectExtent l="0" t="0" r="0" b="0"/>
            <wp:wrapNone/>
            <wp:docPr id="7"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E67719" w:rsidRPr="005C3466">
        <w:rPr>
          <w:rFonts w:eastAsiaTheme="minorEastAsia" w:cs="Calibri"/>
          <w:color w:val="FF0000"/>
          <w:sz w:val="28"/>
          <w:szCs w:val="28"/>
        </w:rPr>
        <w:br w:type="page"/>
      </w:r>
    </w:p>
    <w:p w14:paraId="6045CBE1" w14:textId="77777777" w:rsidR="006878C9" w:rsidRPr="005563F0" w:rsidRDefault="002427FD" w:rsidP="005563F0">
      <w:pPr>
        <w:spacing w:after="0" w:line="240" w:lineRule="auto"/>
        <w:ind w:left="-1843" w:right="-284"/>
        <w:jc w:val="right"/>
        <w:rPr>
          <w:rFonts w:eastAsia="Times New Roman" w:cs="Calibri"/>
          <w:b/>
          <w:i/>
          <w:color w:val="3A73AE" w:themeColor="accent1"/>
          <w:sz w:val="27"/>
          <w:szCs w:val="27"/>
        </w:rPr>
      </w:pPr>
      <w:r w:rsidRPr="005563F0">
        <w:rPr>
          <w:rFonts w:eastAsia="Times New Roman" w:cs="Calibri"/>
          <w:b/>
          <w:i/>
          <w:color w:val="3A73AE" w:themeColor="accent1"/>
          <w:sz w:val="27"/>
          <w:szCs w:val="27"/>
        </w:rPr>
        <w:lastRenderedPageBreak/>
        <w:t>Επιλεγμένα Στοιχεία Ομίλου Πειραιώς</w:t>
      </w:r>
      <w:r w:rsidR="006878C9" w:rsidRPr="005563F0">
        <w:rPr>
          <w:rFonts w:eastAsia="Times New Roman" w:cs="Calibri"/>
          <w:b/>
          <w:i/>
          <w:color w:val="3A73AE" w:themeColor="accent1"/>
          <w:sz w:val="27"/>
          <w:szCs w:val="27"/>
        </w:rPr>
        <w:t xml:space="preserve"> </w:t>
      </w:r>
      <w:r w:rsidR="005563F0">
        <w:rPr>
          <w:rFonts w:eastAsia="Times New Roman" w:cs="Calibri"/>
          <w:b/>
          <w:i/>
          <w:color w:val="3A73AE" w:themeColor="accent1"/>
          <w:sz w:val="27"/>
          <w:szCs w:val="27"/>
          <w:lang w:val="en-US"/>
        </w:rPr>
        <w:t>Financial</w:t>
      </w:r>
      <w:r w:rsidR="005563F0" w:rsidRPr="005563F0">
        <w:rPr>
          <w:rFonts w:eastAsia="Times New Roman" w:cs="Calibri"/>
          <w:b/>
          <w:i/>
          <w:color w:val="3A73AE" w:themeColor="accent1"/>
          <w:sz w:val="27"/>
          <w:szCs w:val="27"/>
        </w:rPr>
        <w:t xml:space="preserve"> </w:t>
      </w:r>
      <w:r w:rsidR="005563F0">
        <w:rPr>
          <w:rFonts w:eastAsia="Times New Roman" w:cs="Calibri"/>
          <w:b/>
          <w:i/>
          <w:color w:val="3A73AE" w:themeColor="accent1"/>
          <w:sz w:val="27"/>
          <w:szCs w:val="27"/>
          <w:lang w:val="en-US"/>
        </w:rPr>
        <w:t>Holdings</w:t>
      </w:r>
    </w:p>
    <w:tbl>
      <w:tblPr>
        <w:tblpPr w:leftFromText="180" w:rightFromText="180" w:vertAnchor="text" w:horzAnchor="page" w:tblpX="1165" w:tblpY="493"/>
        <w:tblW w:w="6140" w:type="pct"/>
        <w:shd w:val="clear" w:color="auto" w:fill="EDEBE5"/>
        <w:tblLayout w:type="fixed"/>
        <w:tblCellMar>
          <w:left w:w="113" w:type="dxa"/>
          <w:right w:w="170" w:type="dxa"/>
        </w:tblCellMar>
        <w:tblLook w:val="00A0" w:firstRow="1" w:lastRow="0" w:firstColumn="1" w:lastColumn="0" w:noHBand="0" w:noVBand="0"/>
      </w:tblPr>
      <w:tblGrid>
        <w:gridCol w:w="3926"/>
        <w:gridCol w:w="913"/>
        <w:gridCol w:w="913"/>
        <w:gridCol w:w="980"/>
        <w:gridCol w:w="984"/>
        <w:gridCol w:w="984"/>
        <w:gridCol w:w="1122"/>
      </w:tblGrid>
      <w:tr w:rsidR="00BB6F70" w:rsidRPr="005744FA" w14:paraId="25CECAD3" w14:textId="77777777" w:rsidTr="00BB6F70">
        <w:trPr>
          <w:trHeight w:val="419"/>
        </w:trPr>
        <w:tc>
          <w:tcPr>
            <w:tcW w:w="1998" w:type="pct"/>
            <w:tcBorders>
              <w:top w:val="single" w:sz="4" w:space="0" w:color="003C96" w:themeColor="text2"/>
              <w:left w:val="single" w:sz="4" w:space="0" w:color="003C96" w:themeColor="text2"/>
              <w:bottom w:val="single" w:sz="4" w:space="0" w:color="003C96" w:themeColor="text2"/>
            </w:tcBorders>
            <w:shd w:val="clear" w:color="auto" w:fill="3A73AE" w:themeFill="accent1"/>
            <w:vAlign w:val="center"/>
          </w:tcPr>
          <w:p w14:paraId="70AB5898" w14:textId="77777777" w:rsidR="00BB6F70" w:rsidRPr="002427FD" w:rsidRDefault="00BB6F70" w:rsidP="006E3E50">
            <w:pPr>
              <w:tabs>
                <w:tab w:val="left" w:pos="284"/>
              </w:tabs>
              <w:spacing w:after="0"/>
              <w:rPr>
                <w:rFonts w:ascii="Calibri" w:eastAsiaTheme="minorEastAsia" w:hAnsi="Calibri" w:cs="Calibri"/>
                <w:color w:val="FFFFFF" w:themeColor="background1"/>
                <w:sz w:val="16"/>
                <w:szCs w:val="16"/>
              </w:rPr>
            </w:pPr>
            <w:r w:rsidRPr="002427FD">
              <w:rPr>
                <w:rFonts w:ascii="Calibri" w:eastAsiaTheme="minorEastAsia" w:hAnsi="Calibri" w:cs="Calibri"/>
                <w:color w:val="FFFFFF" w:themeColor="background1"/>
                <w:sz w:val="16"/>
                <w:szCs w:val="16"/>
              </w:rPr>
              <w:t>Ενοποιημένα Στοιχεία (ποσά σε € εκατ.)</w:t>
            </w:r>
          </w:p>
        </w:tc>
        <w:tc>
          <w:tcPr>
            <w:tcW w:w="465" w:type="pct"/>
            <w:tcBorders>
              <w:top w:val="single" w:sz="4" w:space="0" w:color="003C96" w:themeColor="text2"/>
              <w:bottom w:val="single" w:sz="4" w:space="0" w:color="003C96" w:themeColor="text2"/>
            </w:tcBorders>
            <w:shd w:val="clear" w:color="auto" w:fill="3A73AE" w:themeFill="accent1"/>
            <w:vAlign w:val="center"/>
          </w:tcPr>
          <w:p w14:paraId="7872A199" w14:textId="77777777" w:rsidR="00BB6F70" w:rsidRPr="007E4699" w:rsidRDefault="00BB6F70" w:rsidP="006E3E50">
            <w:pPr>
              <w:tabs>
                <w:tab w:val="left" w:pos="284"/>
              </w:tabs>
              <w:spacing w:after="0"/>
              <w:jc w:val="center"/>
              <w:rPr>
                <w:rFonts w:ascii="Calibri" w:eastAsiaTheme="minorEastAsia" w:hAnsi="Calibri" w:cs="Calibri"/>
                <w:color w:val="FFFFFF" w:themeColor="background1"/>
                <w:sz w:val="16"/>
                <w:szCs w:val="16"/>
              </w:rPr>
            </w:pPr>
          </w:p>
        </w:tc>
        <w:tc>
          <w:tcPr>
            <w:tcW w:w="465" w:type="pct"/>
            <w:tcBorders>
              <w:top w:val="single" w:sz="4" w:space="0" w:color="003C96" w:themeColor="text2"/>
              <w:bottom w:val="single" w:sz="4" w:space="0" w:color="003C96" w:themeColor="text2"/>
            </w:tcBorders>
            <w:shd w:val="clear" w:color="auto" w:fill="3A73AE" w:themeFill="accent1"/>
            <w:vAlign w:val="center"/>
          </w:tcPr>
          <w:p w14:paraId="60AE5774" w14:textId="77777777" w:rsidR="00BB6F70" w:rsidRPr="007E4699" w:rsidRDefault="00BB6F70" w:rsidP="006E3E50">
            <w:pPr>
              <w:tabs>
                <w:tab w:val="left" w:pos="284"/>
              </w:tabs>
              <w:spacing w:after="0"/>
              <w:jc w:val="center"/>
              <w:rPr>
                <w:rFonts w:ascii="Calibri" w:eastAsiaTheme="minorEastAsia" w:hAnsi="Calibri" w:cs="Calibri"/>
                <w:color w:val="FFFFFF" w:themeColor="background1"/>
                <w:sz w:val="16"/>
                <w:szCs w:val="16"/>
              </w:rPr>
            </w:pPr>
          </w:p>
        </w:tc>
        <w:tc>
          <w:tcPr>
            <w:tcW w:w="499" w:type="pct"/>
            <w:tcBorders>
              <w:top w:val="single" w:sz="4" w:space="0" w:color="003C96" w:themeColor="text2"/>
              <w:bottom w:val="single" w:sz="4" w:space="0" w:color="003C96" w:themeColor="text2"/>
            </w:tcBorders>
            <w:shd w:val="clear" w:color="auto" w:fill="3A73AE" w:themeFill="accent1"/>
            <w:vAlign w:val="center"/>
          </w:tcPr>
          <w:p w14:paraId="1B5DD423" w14:textId="77777777" w:rsidR="00BB6F70" w:rsidRPr="007E4699" w:rsidRDefault="00BB6F70" w:rsidP="006E3E50">
            <w:pPr>
              <w:spacing w:after="0"/>
              <w:ind w:left="-103" w:right="-138"/>
              <w:jc w:val="center"/>
              <w:rPr>
                <w:rFonts w:ascii="Calibri" w:eastAsiaTheme="minorEastAsia" w:hAnsi="Calibri" w:cs="Calibri"/>
                <w:color w:val="FFFFFF" w:themeColor="background1"/>
                <w:sz w:val="16"/>
                <w:szCs w:val="16"/>
              </w:rPr>
            </w:pPr>
          </w:p>
        </w:tc>
        <w:tc>
          <w:tcPr>
            <w:tcW w:w="501" w:type="pct"/>
            <w:tcBorders>
              <w:top w:val="single" w:sz="4" w:space="0" w:color="003C96" w:themeColor="text2"/>
              <w:bottom w:val="single" w:sz="4" w:space="0" w:color="003C96" w:themeColor="text2"/>
            </w:tcBorders>
            <w:shd w:val="clear" w:color="auto" w:fill="3A73AE" w:themeFill="accent1"/>
            <w:vAlign w:val="center"/>
          </w:tcPr>
          <w:p w14:paraId="799FF1C4" w14:textId="77777777" w:rsidR="00BB6F70" w:rsidRPr="007E4699" w:rsidRDefault="00BB6F70" w:rsidP="006E3E50">
            <w:pPr>
              <w:tabs>
                <w:tab w:val="left" w:pos="284"/>
              </w:tabs>
              <w:spacing w:after="0"/>
              <w:jc w:val="center"/>
              <w:rPr>
                <w:rFonts w:ascii="Calibri" w:eastAsiaTheme="minorEastAsia" w:hAnsi="Calibri" w:cs="Calibri"/>
                <w:color w:val="FFFFFF" w:themeColor="background1"/>
                <w:sz w:val="16"/>
                <w:szCs w:val="16"/>
              </w:rPr>
            </w:pPr>
          </w:p>
        </w:tc>
        <w:tc>
          <w:tcPr>
            <w:tcW w:w="501" w:type="pct"/>
            <w:tcBorders>
              <w:top w:val="single" w:sz="4" w:space="0" w:color="003C96" w:themeColor="text2"/>
              <w:bottom w:val="single" w:sz="4" w:space="0" w:color="003C96" w:themeColor="text2"/>
            </w:tcBorders>
            <w:shd w:val="clear" w:color="auto" w:fill="3A73AE" w:themeFill="accent1"/>
            <w:vAlign w:val="center"/>
          </w:tcPr>
          <w:p w14:paraId="080AEF1B" w14:textId="77777777" w:rsidR="00BB6F70" w:rsidRPr="007E4699" w:rsidRDefault="00BB6F70" w:rsidP="006E3E50">
            <w:pPr>
              <w:tabs>
                <w:tab w:val="left" w:pos="284"/>
              </w:tabs>
              <w:spacing w:after="0"/>
              <w:ind w:hanging="22"/>
              <w:jc w:val="center"/>
              <w:rPr>
                <w:rFonts w:ascii="Calibri" w:eastAsiaTheme="minorEastAsia" w:hAnsi="Calibri" w:cs="Calibri"/>
                <w:color w:val="FFFFFF" w:themeColor="background1"/>
                <w:sz w:val="16"/>
                <w:szCs w:val="16"/>
              </w:rPr>
            </w:pPr>
          </w:p>
        </w:tc>
        <w:tc>
          <w:tcPr>
            <w:tcW w:w="572" w:type="pct"/>
            <w:tcBorders>
              <w:top w:val="single" w:sz="4" w:space="0" w:color="003C96" w:themeColor="text2"/>
              <w:bottom w:val="single" w:sz="4" w:space="0" w:color="003C96" w:themeColor="text2"/>
            </w:tcBorders>
            <w:shd w:val="clear" w:color="auto" w:fill="3A73AE" w:themeFill="accent1"/>
          </w:tcPr>
          <w:p w14:paraId="26839EE0" w14:textId="77777777" w:rsidR="00BB6F70" w:rsidRPr="007E4699" w:rsidRDefault="00BB6F70" w:rsidP="006E3E50">
            <w:pPr>
              <w:tabs>
                <w:tab w:val="left" w:pos="284"/>
              </w:tabs>
              <w:spacing w:after="0"/>
              <w:ind w:right="-108"/>
              <w:jc w:val="center"/>
              <w:rPr>
                <w:rFonts w:ascii="Calibri" w:eastAsiaTheme="minorEastAsia" w:hAnsi="Calibri" w:cs="Calibri"/>
                <w:color w:val="FFFFFF" w:themeColor="background1"/>
                <w:sz w:val="16"/>
                <w:szCs w:val="16"/>
              </w:rPr>
            </w:pPr>
          </w:p>
        </w:tc>
      </w:tr>
      <w:tr w:rsidR="005563F0" w:rsidRPr="005744FA" w14:paraId="33C90F09" w14:textId="77777777" w:rsidTr="00BB6F70">
        <w:trPr>
          <w:trHeight w:val="406"/>
        </w:trPr>
        <w:tc>
          <w:tcPr>
            <w:tcW w:w="1998" w:type="pct"/>
            <w:tcBorders>
              <w:top w:val="single" w:sz="4" w:space="0" w:color="003C96" w:themeColor="text2"/>
              <w:left w:val="single" w:sz="4" w:space="0" w:color="FFC000"/>
            </w:tcBorders>
            <w:shd w:val="clear" w:color="auto" w:fill="DCDCD7"/>
            <w:vAlign w:val="center"/>
          </w:tcPr>
          <w:p w14:paraId="0947C118" w14:textId="77777777" w:rsidR="005563F0" w:rsidRPr="005744FA" w:rsidRDefault="005563F0" w:rsidP="006E3E50">
            <w:pPr>
              <w:tabs>
                <w:tab w:val="left" w:pos="284"/>
              </w:tabs>
              <w:spacing w:after="0"/>
              <w:rPr>
                <w:rFonts w:eastAsiaTheme="minorEastAsia" w:cs="Calibri"/>
                <w:color w:val="003C96" w:themeColor="text2"/>
                <w:sz w:val="16"/>
                <w:szCs w:val="16"/>
                <w:lang w:val="en-US"/>
              </w:rPr>
            </w:pPr>
            <w:r w:rsidRPr="00777DF0">
              <w:rPr>
                <w:rFonts w:ascii="Calibri" w:eastAsiaTheme="minorEastAsia" w:hAnsi="Calibri" w:cs="Calibri"/>
                <w:color w:val="003C96" w:themeColor="text2"/>
                <w:sz w:val="16"/>
                <w:szCs w:val="16"/>
                <w:lang w:val="en-GB"/>
              </w:rPr>
              <w:t>Επ</w:t>
            </w:r>
            <w:proofErr w:type="spellStart"/>
            <w:r w:rsidRPr="00777DF0">
              <w:rPr>
                <w:rFonts w:ascii="Calibri" w:eastAsiaTheme="minorEastAsia" w:hAnsi="Calibri" w:cs="Calibri"/>
                <w:color w:val="003C96" w:themeColor="text2"/>
                <w:sz w:val="16"/>
                <w:szCs w:val="16"/>
                <w:lang w:val="en-GB"/>
              </w:rPr>
              <w:t>ιλεγμέν</w:t>
            </w:r>
            <w:proofErr w:type="spellEnd"/>
            <w:r w:rsidRPr="00777DF0">
              <w:rPr>
                <w:rFonts w:ascii="Calibri" w:eastAsiaTheme="minorEastAsia" w:hAnsi="Calibri" w:cs="Calibri"/>
                <w:color w:val="003C96" w:themeColor="text2"/>
                <w:sz w:val="16"/>
                <w:szCs w:val="16"/>
                <w:lang w:val="en-GB"/>
              </w:rPr>
              <w:t xml:space="preserve">α </w:t>
            </w:r>
            <w:proofErr w:type="spellStart"/>
            <w:r w:rsidRPr="00777DF0">
              <w:rPr>
                <w:rFonts w:ascii="Calibri" w:eastAsiaTheme="minorEastAsia" w:hAnsi="Calibri" w:cs="Calibri"/>
                <w:color w:val="003C96" w:themeColor="text2"/>
                <w:sz w:val="16"/>
                <w:szCs w:val="16"/>
                <w:lang w:val="en-GB"/>
              </w:rPr>
              <w:t>Στοιχεί</w:t>
            </w:r>
            <w:proofErr w:type="spellEnd"/>
            <w:r w:rsidRPr="00777DF0">
              <w:rPr>
                <w:rFonts w:ascii="Calibri" w:eastAsiaTheme="minorEastAsia" w:hAnsi="Calibri" w:cs="Calibri"/>
                <w:color w:val="003C96" w:themeColor="text2"/>
                <w:sz w:val="16"/>
                <w:szCs w:val="16"/>
                <w:lang w:val="en-GB"/>
              </w:rPr>
              <w:t xml:space="preserve">α </w:t>
            </w:r>
            <w:proofErr w:type="spellStart"/>
            <w:r w:rsidRPr="00777DF0">
              <w:rPr>
                <w:rFonts w:ascii="Calibri" w:eastAsiaTheme="minorEastAsia" w:hAnsi="Calibri" w:cs="Calibri"/>
                <w:color w:val="003C96" w:themeColor="text2"/>
                <w:sz w:val="16"/>
                <w:szCs w:val="16"/>
                <w:lang w:val="en-GB"/>
              </w:rPr>
              <w:t>Ισολογισμού</w:t>
            </w:r>
            <w:proofErr w:type="spellEnd"/>
          </w:p>
        </w:tc>
        <w:tc>
          <w:tcPr>
            <w:tcW w:w="465" w:type="pct"/>
            <w:tcBorders>
              <w:top w:val="single" w:sz="4" w:space="0" w:color="003C96" w:themeColor="text2"/>
            </w:tcBorders>
            <w:shd w:val="clear" w:color="auto" w:fill="DCDCD7"/>
            <w:vAlign w:val="center"/>
          </w:tcPr>
          <w:p w14:paraId="20C7714A" w14:textId="77777777" w:rsidR="005563F0" w:rsidRPr="00777DF0" w:rsidRDefault="005563F0" w:rsidP="006E3E50">
            <w:pPr>
              <w:spacing w:after="0"/>
              <w:ind w:right="-57"/>
              <w:jc w:val="center"/>
              <w:rPr>
                <w:rFonts w:ascii="Calibri" w:eastAsiaTheme="minorEastAsia" w:hAnsi="Calibri" w:cs="Calibri"/>
                <w:color w:val="003C96" w:themeColor="text2"/>
                <w:sz w:val="16"/>
                <w:szCs w:val="16"/>
              </w:rPr>
            </w:pPr>
            <w:r>
              <w:rPr>
                <w:rFonts w:ascii="Calibri" w:eastAsiaTheme="minorEastAsia" w:hAnsi="Calibri" w:cs="Calibri"/>
                <w:color w:val="003C96" w:themeColor="text2"/>
                <w:sz w:val="16"/>
                <w:szCs w:val="16"/>
              </w:rPr>
              <w:t>30.12</w:t>
            </w:r>
            <w:r w:rsidRPr="00777DF0">
              <w:rPr>
                <w:rFonts w:ascii="Calibri" w:eastAsiaTheme="minorEastAsia" w:hAnsi="Calibri" w:cs="Calibri"/>
                <w:color w:val="003C96" w:themeColor="text2"/>
                <w:sz w:val="16"/>
                <w:szCs w:val="16"/>
              </w:rPr>
              <w:t>.20</w:t>
            </w:r>
          </w:p>
        </w:tc>
        <w:tc>
          <w:tcPr>
            <w:tcW w:w="465" w:type="pct"/>
            <w:tcBorders>
              <w:top w:val="single" w:sz="4" w:space="0" w:color="003C96" w:themeColor="text2"/>
            </w:tcBorders>
            <w:shd w:val="clear" w:color="auto" w:fill="DCDCD7"/>
            <w:vAlign w:val="center"/>
          </w:tcPr>
          <w:p w14:paraId="1E51E6DF" w14:textId="77777777" w:rsidR="005563F0" w:rsidRPr="00777DF0" w:rsidRDefault="005563F0" w:rsidP="006E3E50">
            <w:pPr>
              <w:spacing w:after="0"/>
              <w:ind w:right="-57"/>
              <w:jc w:val="center"/>
              <w:rPr>
                <w:rFonts w:ascii="Calibri" w:eastAsiaTheme="minorEastAsia" w:hAnsi="Calibri" w:cs="Calibri"/>
                <w:color w:val="003C96" w:themeColor="text2"/>
                <w:sz w:val="16"/>
                <w:szCs w:val="16"/>
              </w:rPr>
            </w:pPr>
            <w:r w:rsidRPr="00777DF0">
              <w:rPr>
                <w:rFonts w:ascii="Calibri" w:eastAsiaTheme="minorEastAsia" w:hAnsi="Calibri" w:cs="Calibri"/>
                <w:color w:val="003C96" w:themeColor="text2"/>
                <w:sz w:val="16"/>
                <w:szCs w:val="16"/>
              </w:rPr>
              <w:t>30.</w:t>
            </w:r>
            <w:r>
              <w:rPr>
                <w:rFonts w:ascii="Calibri" w:eastAsiaTheme="minorEastAsia" w:hAnsi="Calibri" w:cs="Calibri"/>
                <w:color w:val="003C96" w:themeColor="text2"/>
                <w:sz w:val="16"/>
                <w:szCs w:val="16"/>
              </w:rPr>
              <w:t>12.19</w:t>
            </w:r>
          </w:p>
        </w:tc>
        <w:tc>
          <w:tcPr>
            <w:tcW w:w="499" w:type="pct"/>
            <w:tcBorders>
              <w:top w:val="single" w:sz="4" w:space="0" w:color="003C96" w:themeColor="text2"/>
              <w:right w:val="single" w:sz="18" w:space="0" w:color="FFC000"/>
            </w:tcBorders>
            <w:shd w:val="clear" w:color="auto" w:fill="DCDCD7"/>
            <w:vAlign w:val="center"/>
          </w:tcPr>
          <w:p w14:paraId="4712BB53" w14:textId="77777777" w:rsidR="005563F0" w:rsidRDefault="005563F0" w:rsidP="006E3E50">
            <w:pPr>
              <w:spacing w:after="0"/>
              <w:ind w:left="-103" w:right="-189"/>
              <w:jc w:val="center"/>
              <w:rPr>
                <w:rFonts w:ascii="Calibri" w:eastAsiaTheme="minorEastAsia" w:hAnsi="Calibri" w:cs="Calibri"/>
                <w:color w:val="003C96" w:themeColor="text2"/>
                <w:sz w:val="16"/>
                <w:szCs w:val="16"/>
              </w:rPr>
            </w:pPr>
            <w:r w:rsidRPr="00777DF0">
              <w:rPr>
                <w:rFonts w:ascii="Calibri" w:eastAsiaTheme="minorEastAsia" w:hAnsi="Calibri" w:cs="Calibri"/>
                <w:color w:val="003C96" w:themeColor="text2"/>
                <w:sz w:val="16"/>
                <w:szCs w:val="16"/>
              </w:rPr>
              <w:t xml:space="preserve">Δ% </w:t>
            </w:r>
          </w:p>
          <w:p w14:paraId="34A92F7A" w14:textId="77777777" w:rsidR="005563F0" w:rsidRPr="00777DF0" w:rsidRDefault="005563F0" w:rsidP="006E3E50">
            <w:pPr>
              <w:spacing w:after="0"/>
              <w:ind w:left="-103" w:right="-189"/>
              <w:jc w:val="center"/>
              <w:rPr>
                <w:rFonts w:ascii="Calibri" w:eastAsiaTheme="minorEastAsia" w:hAnsi="Calibri" w:cs="Calibri"/>
                <w:color w:val="003C96" w:themeColor="text2"/>
                <w:sz w:val="16"/>
                <w:szCs w:val="16"/>
              </w:rPr>
            </w:pPr>
            <w:r>
              <w:rPr>
                <w:rFonts w:ascii="Calibri" w:eastAsiaTheme="minorEastAsia" w:hAnsi="Calibri" w:cs="Calibri"/>
                <w:color w:val="003C96" w:themeColor="text2"/>
                <w:sz w:val="14"/>
                <w:szCs w:val="14"/>
              </w:rPr>
              <w:t>ετησίως</w:t>
            </w:r>
          </w:p>
        </w:tc>
        <w:tc>
          <w:tcPr>
            <w:tcW w:w="501" w:type="pct"/>
            <w:tcBorders>
              <w:top w:val="single" w:sz="4" w:space="0" w:color="003C96" w:themeColor="text2"/>
              <w:left w:val="single" w:sz="18" w:space="0" w:color="FFC000"/>
            </w:tcBorders>
            <w:shd w:val="clear" w:color="auto" w:fill="DCDCD7"/>
            <w:vAlign w:val="center"/>
          </w:tcPr>
          <w:p w14:paraId="598F2A5E" w14:textId="77777777" w:rsidR="005563F0" w:rsidRPr="00777DF0" w:rsidRDefault="005563F0" w:rsidP="006E3E50">
            <w:pPr>
              <w:spacing w:after="0"/>
              <w:ind w:right="-57"/>
              <w:jc w:val="center"/>
              <w:rPr>
                <w:rFonts w:ascii="Calibri" w:eastAsiaTheme="minorEastAsia" w:hAnsi="Calibri" w:cs="Calibri"/>
                <w:color w:val="003C96" w:themeColor="text2"/>
                <w:sz w:val="16"/>
                <w:szCs w:val="16"/>
              </w:rPr>
            </w:pPr>
            <w:r w:rsidRPr="00777DF0">
              <w:rPr>
                <w:rFonts w:ascii="Calibri" w:eastAsiaTheme="minorEastAsia" w:hAnsi="Calibri" w:cs="Calibri"/>
                <w:color w:val="003C96" w:themeColor="text2"/>
                <w:sz w:val="16"/>
                <w:szCs w:val="16"/>
              </w:rPr>
              <w:t>30.09.20</w:t>
            </w:r>
          </w:p>
        </w:tc>
        <w:tc>
          <w:tcPr>
            <w:tcW w:w="501" w:type="pct"/>
            <w:tcBorders>
              <w:top w:val="single" w:sz="4" w:space="0" w:color="003C96" w:themeColor="text2"/>
              <w:right w:val="single" w:sz="4" w:space="0" w:color="FFC000"/>
            </w:tcBorders>
            <w:shd w:val="clear" w:color="auto" w:fill="DCDCD7"/>
            <w:vAlign w:val="center"/>
          </w:tcPr>
          <w:p w14:paraId="64594A30" w14:textId="77777777" w:rsidR="005563F0" w:rsidRPr="00777DF0" w:rsidRDefault="005563F0" w:rsidP="006E3E50">
            <w:pPr>
              <w:spacing w:after="0"/>
              <w:ind w:right="-57"/>
              <w:jc w:val="center"/>
              <w:rPr>
                <w:rFonts w:ascii="Calibri" w:eastAsiaTheme="minorEastAsia" w:hAnsi="Calibri" w:cs="Calibri"/>
                <w:color w:val="003C96" w:themeColor="text2"/>
                <w:sz w:val="16"/>
                <w:szCs w:val="16"/>
              </w:rPr>
            </w:pPr>
            <w:r w:rsidRPr="00777DF0">
              <w:rPr>
                <w:rFonts w:ascii="Calibri" w:eastAsiaTheme="minorEastAsia" w:hAnsi="Calibri" w:cs="Calibri"/>
                <w:color w:val="003C96" w:themeColor="text2"/>
                <w:sz w:val="16"/>
                <w:szCs w:val="16"/>
              </w:rPr>
              <w:t>Δ%</w:t>
            </w:r>
          </w:p>
          <w:p w14:paraId="507FFECF" w14:textId="77777777" w:rsidR="005563F0" w:rsidRPr="00BD3181" w:rsidRDefault="005563F0" w:rsidP="006E3E50">
            <w:pPr>
              <w:spacing w:after="0"/>
              <w:ind w:right="-57"/>
              <w:jc w:val="center"/>
              <w:rPr>
                <w:rFonts w:ascii="Calibri" w:eastAsiaTheme="minorEastAsia" w:hAnsi="Calibri" w:cs="Calibri"/>
                <w:color w:val="003C96" w:themeColor="text2"/>
                <w:sz w:val="14"/>
                <w:szCs w:val="14"/>
              </w:rPr>
            </w:pPr>
            <w:proofErr w:type="spellStart"/>
            <w:r>
              <w:rPr>
                <w:rFonts w:ascii="Calibri" w:eastAsiaTheme="minorEastAsia" w:hAnsi="Calibri" w:cs="Calibri"/>
                <w:color w:val="003C96" w:themeColor="text2"/>
                <w:sz w:val="14"/>
                <w:szCs w:val="14"/>
              </w:rPr>
              <w:t>τριμηνιαίως</w:t>
            </w:r>
            <w:proofErr w:type="spellEnd"/>
          </w:p>
        </w:tc>
        <w:tc>
          <w:tcPr>
            <w:tcW w:w="572" w:type="pct"/>
            <w:tcBorders>
              <w:top w:val="single" w:sz="4" w:space="0" w:color="003C96" w:themeColor="text2"/>
              <w:right w:val="single" w:sz="4" w:space="0" w:color="FFC000"/>
            </w:tcBorders>
            <w:shd w:val="clear" w:color="auto" w:fill="DCDCD7"/>
          </w:tcPr>
          <w:p w14:paraId="595F3034" w14:textId="77777777" w:rsidR="005563F0" w:rsidRPr="00777DF0" w:rsidRDefault="005563F0" w:rsidP="006E3E50">
            <w:pPr>
              <w:spacing w:after="0"/>
              <w:ind w:right="-57"/>
              <w:jc w:val="center"/>
              <w:rPr>
                <w:rFonts w:ascii="Calibri" w:eastAsiaTheme="minorEastAsia" w:hAnsi="Calibri" w:cs="Calibri"/>
                <w:color w:val="003C96" w:themeColor="text2"/>
                <w:sz w:val="16"/>
                <w:szCs w:val="16"/>
              </w:rPr>
            </w:pPr>
          </w:p>
        </w:tc>
      </w:tr>
      <w:tr w:rsidR="005563F0" w:rsidRPr="005744FA" w14:paraId="476D5D65" w14:textId="77777777" w:rsidTr="00BB6F70">
        <w:trPr>
          <w:trHeight w:val="6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4352A56F" w14:textId="77777777" w:rsidR="005563F0" w:rsidRPr="005744FA" w:rsidRDefault="005563F0" w:rsidP="006E3E50">
            <w:pPr>
              <w:tabs>
                <w:tab w:val="left" w:pos="284"/>
              </w:tabs>
              <w:spacing w:after="0"/>
              <w:jc w:val="right"/>
              <w:rPr>
                <w:rFonts w:eastAsiaTheme="minorEastAsia" w:cs="Calibri"/>
                <w:sz w:val="10"/>
                <w:szCs w:val="16"/>
                <w:lang w:val="en-US"/>
              </w:rPr>
            </w:pPr>
          </w:p>
        </w:tc>
        <w:tc>
          <w:tcPr>
            <w:tcW w:w="465" w:type="pct"/>
            <w:tcBorders>
              <w:left w:val="single" w:sz="4" w:space="0" w:color="FFC000"/>
              <w:right w:val="single" w:sz="4" w:space="0" w:color="FFC000"/>
            </w:tcBorders>
            <w:shd w:val="clear" w:color="auto" w:fill="FFFFFF" w:themeFill="background1"/>
            <w:vAlign w:val="center"/>
          </w:tcPr>
          <w:p w14:paraId="54A17302" w14:textId="77777777" w:rsidR="005563F0" w:rsidRPr="00EE6EA8" w:rsidRDefault="005563F0" w:rsidP="006E3E50">
            <w:pPr>
              <w:tabs>
                <w:tab w:val="left" w:pos="284"/>
              </w:tabs>
              <w:spacing w:after="0"/>
              <w:jc w:val="right"/>
              <w:rPr>
                <w:rFonts w:eastAsiaTheme="minorEastAsia" w:cs="Calibri"/>
                <w:sz w:val="10"/>
                <w:szCs w:val="16"/>
                <w:lang w:val="en-US"/>
              </w:rPr>
            </w:pPr>
          </w:p>
        </w:tc>
        <w:tc>
          <w:tcPr>
            <w:tcW w:w="465" w:type="pct"/>
            <w:tcBorders>
              <w:left w:val="single" w:sz="4" w:space="0" w:color="FFC000"/>
              <w:right w:val="single" w:sz="4" w:space="0" w:color="FFC000"/>
            </w:tcBorders>
            <w:shd w:val="clear" w:color="auto" w:fill="FFFFFF" w:themeFill="background1"/>
            <w:vAlign w:val="center"/>
          </w:tcPr>
          <w:p w14:paraId="50C5EBD7" w14:textId="77777777" w:rsidR="005563F0" w:rsidRPr="00EE6EA8" w:rsidRDefault="005563F0" w:rsidP="006E3E50">
            <w:pPr>
              <w:tabs>
                <w:tab w:val="left" w:pos="284"/>
              </w:tabs>
              <w:spacing w:after="0"/>
              <w:jc w:val="right"/>
              <w:rPr>
                <w:rFonts w:eastAsiaTheme="minorEastAsia" w:cs="Calibri"/>
                <w:sz w:val="10"/>
                <w:szCs w:val="16"/>
                <w:lang w:val="en-US"/>
              </w:rPr>
            </w:pPr>
          </w:p>
        </w:tc>
        <w:tc>
          <w:tcPr>
            <w:tcW w:w="499" w:type="pct"/>
            <w:tcBorders>
              <w:left w:val="single" w:sz="4" w:space="0" w:color="FFC000"/>
              <w:right w:val="single" w:sz="18" w:space="0" w:color="FFC000"/>
            </w:tcBorders>
            <w:shd w:val="clear" w:color="auto" w:fill="FFFFFF" w:themeFill="background1"/>
            <w:vAlign w:val="center"/>
          </w:tcPr>
          <w:p w14:paraId="53F58852" w14:textId="77777777" w:rsidR="005563F0" w:rsidRPr="00EE6EA8" w:rsidRDefault="005563F0" w:rsidP="006E3E50">
            <w:pPr>
              <w:tabs>
                <w:tab w:val="left" w:pos="284"/>
              </w:tabs>
              <w:spacing w:after="0"/>
              <w:jc w:val="right"/>
              <w:rPr>
                <w:rFonts w:eastAsiaTheme="minorEastAsia" w:cs="Calibri"/>
                <w:sz w:val="10"/>
                <w:szCs w:val="16"/>
                <w:lang w:val="en-US"/>
              </w:rPr>
            </w:pPr>
          </w:p>
        </w:tc>
        <w:tc>
          <w:tcPr>
            <w:tcW w:w="501" w:type="pct"/>
            <w:tcBorders>
              <w:left w:val="single" w:sz="18" w:space="0" w:color="FFC000"/>
              <w:right w:val="single" w:sz="4" w:space="0" w:color="FFC000"/>
            </w:tcBorders>
            <w:shd w:val="clear" w:color="auto" w:fill="FFFFFF" w:themeFill="background1"/>
            <w:vAlign w:val="center"/>
          </w:tcPr>
          <w:p w14:paraId="0D7B9D3D" w14:textId="77777777" w:rsidR="005563F0" w:rsidRPr="00EE6EA8" w:rsidRDefault="005563F0" w:rsidP="006E3E50">
            <w:pPr>
              <w:tabs>
                <w:tab w:val="left" w:pos="284"/>
              </w:tabs>
              <w:spacing w:after="0"/>
              <w:jc w:val="right"/>
              <w:rPr>
                <w:rFonts w:eastAsiaTheme="minorEastAsia" w:cs="Calibri"/>
                <w:sz w:val="10"/>
                <w:szCs w:val="16"/>
                <w:lang w:val="en-US"/>
              </w:rPr>
            </w:pPr>
          </w:p>
        </w:tc>
        <w:tc>
          <w:tcPr>
            <w:tcW w:w="501" w:type="pct"/>
            <w:tcBorders>
              <w:left w:val="single" w:sz="4" w:space="0" w:color="FFC000"/>
              <w:right w:val="single" w:sz="4" w:space="0" w:color="FFC000"/>
            </w:tcBorders>
            <w:shd w:val="clear" w:color="auto" w:fill="FFFFFF" w:themeFill="background1"/>
            <w:vAlign w:val="center"/>
          </w:tcPr>
          <w:p w14:paraId="5A4BF2C4" w14:textId="77777777" w:rsidR="005563F0" w:rsidRPr="00EE6EA8" w:rsidRDefault="005563F0" w:rsidP="006E3E50">
            <w:pPr>
              <w:tabs>
                <w:tab w:val="left" w:pos="284"/>
              </w:tabs>
              <w:spacing w:after="0"/>
              <w:jc w:val="right"/>
              <w:rPr>
                <w:rFonts w:eastAsiaTheme="minorEastAsia" w:cs="Calibri"/>
                <w:sz w:val="10"/>
                <w:szCs w:val="16"/>
                <w:lang w:val="en-US"/>
              </w:rPr>
            </w:pPr>
          </w:p>
        </w:tc>
        <w:tc>
          <w:tcPr>
            <w:tcW w:w="572" w:type="pct"/>
            <w:tcBorders>
              <w:left w:val="single" w:sz="4" w:space="0" w:color="FFC000"/>
              <w:right w:val="single" w:sz="4" w:space="0" w:color="FFC000"/>
            </w:tcBorders>
            <w:shd w:val="clear" w:color="auto" w:fill="FFFFFF" w:themeFill="background1"/>
          </w:tcPr>
          <w:p w14:paraId="2EAD3F97" w14:textId="77777777" w:rsidR="005563F0" w:rsidRPr="00EE6EA8" w:rsidRDefault="005563F0" w:rsidP="006E3E50">
            <w:pPr>
              <w:tabs>
                <w:tab w:val="left" w:pos="284"/>
              </w:tabs>
              <w:spacing w:after="0"/>
              <w:jc w:val="right"/>
              <w:rPr>
                <w:rFonts w:eastAsiaTheme="minorEastAsia" w:cs="Calibri"/>
                <w:sz w:val="10"/>
                <w:szCs w:val="16"/>
                <w:lang w:val="en-US"/>
              </w:rPr>
            </w:pPr>
          </w:p>
        </w:tc>
      </w:tr>
      <w:tr w:rsidR="005563F0" w:rsidRPr="005744FA" w14:paraId="604F4A2D" w14:textId="77777777" w:rsidTr="00BB6F70">
        <w:trPr>
          <w:trHeight w:val="30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49A4C7DA" w14:textId="77777777" w:rsidR="005563F0" w:rsidRPr="005744FA" w:rsidRDefault="005563F0" w:rsidP="006E3E50">
            <w:pPr>
              <w:tabs>
                <w:tab w:val="left" w:pos="284"/>
              </w:tabs>
              <w:spacing w:after="0" w:line="240" w:lineRule="auto"/>
              <w:rPr>
                <w:rFonts w:eastAsiaTheme="minorEastAsia" w:cs="Calibri"/>
                <w:sz w:val="16"/>
                <w:szCs w:val="16"/>
                <w:lang w:val="en-GB"/>
              </w:rPr>
            </w:pPr>
            <w:r w:rsidRPr="002C502D">
              <w:rPr>
                <w:rFonts w:ascii="Calibri" w:eastAsiaTheme="minorEastAsia" w:hAnsi="Calibri" w:cs="Calibri"/>
                <w:sz w:val="16"/>
                <w:szCs w:val="16"/>
              </w:rPr>
              <w:t>Ενεργητικό</w:t>
            </w:r>
          </w:p>
        </w:tc>
        <w:tc>
          <w:tcPr>
            <w:tcW w:w="465" w:type="pct"/>
            <w:tcBorders>
              <w:left w:val="single" w:sz="4" w:space="0" w:color="FFC000"/>
              <w:right w:val="single" w:sz="4" w:space="0" w:color="FFC000"/>
            </w:tcBorders>
            <w:shd w:val="clear" w:color="auto" w:fill="FFFFFF" w:themeFill="background1"/>
            <w:vAlign w:val="center"/>
          </w:tcPr>
          <w:p w14:paraId="5193E011" w14:textId="77777777" w:rsidR="005563F0" w:rsidRPr="00B710C6" w:rsidRDefault="005563F0" w:rsidP="006E3E50">
            <w:pPr>
              <w:tabs>
                <w:tab w:val="left" w:pos="284"/>
              </w:tabs>
              <w:spacing w:after="0" w:line="240" w:lineRule="auto"/>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71.576</w:t>
            </w:r>
          </w:p>
        </w:tc>
        <w:tc>
          <w:tcPr>
            <w:tcW w:w="465" w:type="pct"/>
            <w:tcBorders>
              <w:left w:val="single" w:sz="4" w:space="0" w:color="FFC000"/>
              <w:right w:val="single" w:sz="4" w:space="0" w:color="FFC000"/>
            </w:tcBorders>
            <w:shd w:val="clear" w:color="auto" w:fill="FFFFFF" w:themeFill="background1"/>
            <w:vAlign w:val="center"/>
          </w:tcPr>
          <w:p w14:paraId="3107DF44" w14:textId="77777777" w:rsidR="005563F0" w:rsidRPr="00BD3181" w:rsidRDefault="005563F0" w:rsidP="006E3E50">
            <w:pPr>
              <w:tabs>
                <w:tab w:val="left" w:pos="284"/>
              </w:tabs>
              <w:spacing w:after="0" w:line="240" w:lineRule="auto"/>
              <w:jc w:val="right"/>
              <w:rPr>
                <w:rFonts w:eastAsiaTheme="minorEastAsia" w:cs="Calibri"/>
                <w:color w:val="000000" w:themeColor="text1"/>
                <w:sz w:val="16"/>
                <w:szCs w:val="16"/>
                <w:lang w:val="en-US"/>
              </w:rPr>
            </w:pPr>
            <w:r w:rsidRPr="00777DF0">
              <w:rPr>
                <w:rFonts w:eastAsiaTheme="minorEastAsia" w:cs="Calibri"/>
                <w:color w:val="000000" w:themeColor="text1"/>
                <w:sz w:val="16"/>
                <w:szCs w:val="16"/>
              </w:rPr>
              <w:t>6</w:t>
            </w:r>
            <w:r>
              <w:rPr>
                <w:rFonts w:eastAsiaTheme="minorEastAsia" w:cs="Calibri"/>
                <w:color w:val="000000" w:themeColor="text1"/>
                <w:sz w:val="16"/>
                <w:szCs w:val="16"/>
                <w:lang w:val="en-US"/>
              </w:rPr>
              <w:t>1.231</w:t>
            </w:r>
          </w:p>
        </w:tc>
        <w:tc>
          <w:tcPr>
            <w:tcW w:w="499" w:type="pct"/>
            <w:tcBorders>
              <w:left w:val="single" w:sz="4" w:space="0" w:color="FFC000"/>
              <w:right w:val="single" w:sz="18" w:space="0" w:color="FFC000"/>
            </w:tcBorders>
            <w:shd w:val="clear" w:color="auto" w:fill="FFFFFF" w:themeFill="background1"/>
            <w:vAlign w:val="center"/>
          </w:tcPr>
          <w:p w14:paraId="160D0D8C"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lang w:val="en-US"/>
              </w:rPr>
              <w:t>17</w:t>
            </w:r>
            <w:r w:rsidRPr="00777DF0">
              <w:rPr>
                <w:rFonts w:eastAsiaTheme="minorEastAsia" w:cs="Calibri"/>
                <w:color w:val="000000" w:themeColor="text1"/>
                <w:sz w:val="16"/>
                <w:szCs w:val="16"/>
              </w:rPr>
              <w:t>%</w:t>
            </w:r>
          </w:p>
        </w:tc>
        <w:tc>
          <w:tcPr>
            <w:tcW w:w="501" w:type="pct"/>
            <w:tcBorders>
              <w:left w:val="single" w:sz="18" w:space="0" w:color="FFC000"/>
              <w:right w:val="single" w:sz="4" w:space="0" w:color="FFC000"/>
            </w:tcBorders>
            <w:shd w:val="clear" w:color="auto" w:fill="FFFFFF" w:themeFill="background1"/>
            <w:vAlign w:val="center"/>
          </w:tcPr>
          <w:p w14:paraId="0DCD5F2C"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sidRPr="00777DF0">
              <w:rPr>
                <w:rFonts w:eastAsiaTheme="minorEastAsia" w:cs="Calibri"/>
                <w:color w:val="000000" w:themeColor="text1"/>
                <w:sz w:val="16"/>
                <w:szCs w:val="16"/>
              </w:rPr>
              <w:t>67</w:t>
            </w:r>
            <w:r>
              <w:rPr>
                <w:rFonts w:eastAsiaTheme="minorEastAsia" w:cs="Calibri"/>
                <w:color w:val="000000" w:themeColor="text1"/>
                <w:sz w:val="16"/>
                <w:szCs w:val="16"/>
                <w:lang w:val="en-US"/>
              </w:rPr>
              <w:t>.</w:t>
            </w:r>
            <w:r w:rsidRPr="00777DF0">
              <w:rPr>
                <w:rFonts w:eastAsiaTheme="minorEastAsia" w:cs="Calibri"/>
                <w:color w:val="000000" w:themeColor="text1"/>
                <w:sz w:val="16"/>
                <w:szCs w:val="16"/>
              </w:rPr>
              <w:t>693</w:t>
            </w:r>
          </w:p>
        </w:tc>
        <w:tc>
          <w:tcPr>
            <w:tcW w:w="501" w:type="pct"/>
            <w:tcBorders>
              <w:left w:val="single" w:sz="4" w:space="0" w:color="FFC000"/>
              <w:right w:val="single" w:sz="4" w:space="0" w:color="FFC000"/>
            </w:tcBorders>
            <w:shd w:val="clear" w:color="auto" w:fill="FFFFFF" w:themeFill="background1"/>
            <w:vAlign w:val="center"/>
          </w:tcPr>
          <w:p w14:paraId="1AC8CE03"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6%</w:t>
            </w:r>
          </w:p>
        </w:tc>
        <w:tc>
          <w:tcPr>
            <w:tcW w:w="572" w:type="pct"/>
            <w:tcBorders>
              <w:left w:val="single" w:sz="4" w:space="0" w:color="FFC000"/>
              <w:right w:val="single" w:sz="4" w:space="0" w:color="FFC000"/>
            </w:tcBorders>
            <w:shd w:val="clear" w:color="auto" w:fill="FFFFFF" w:themeFill="background1"/>
          </w:tcPr>
          <w:p w14:paraId="24941751" w14:textId="77777777" w:rsidR="005563F0" w:rsidRDefault="005563F0" w:rsidP="006E3E50">
            <w:pPr>
              <w:tabs>
                <w:tab w:val="left" w:pos="284"/>
              </w:tabs>
              <w:spacing w:after="0" w:line="240" w:lineRule="auto"/>
              <w:jc w:val="right"/>
              <w:rPr>
                <w:rFonts w:eastAsiaTheme="minorEastAsia" w:cs="Calibri"/>
                <w:color w:val="000000" w:themeColor="text1"/>
                <w:sz w:val="16"/>
                <w:szCs w:val="16"/>
              </w:rPr>
            </w:pPr>
          </w:p>
        </w:tc>
      </w:tr>
      <w:tr w:rsidR="005563F0" w:rsidRPr="005744FA" w14:paraId="79D5E532" w14:textId="77777777" w:rsidTr="00BB6F70">
        <w:trPr>
          <w:trHeight w:val="30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5CDD92B0" w14:textId="77777777" w:rsidR="005563F0" w:rsidRPr="00777DF0" w:rsidRDefault="005563F0" w:rsidP="006E3E50">
            <w:pPr>
              <w:tabs>
                <w:tab w:val="left" w:pos="284"/>
              </w:tabs>
              <w:spacing w:after="0" w:line="240" w:lineRule="auto"/>
              <w:rPr>
                <w:rFonts w:eastAsiaTheme="minorEastAsia" w:cs="Calibri"/>
                <w:sz w:val="16"/>
                <w:szCs w:val="16"/>
              </w:rPr>
            </w:pPr>
            <w:r w:rsidRPr="002C502D">
              <w:rPr>
                <w:rFonts w:ascii="Calibri" w:eastAsiaTheme="minorEastAsia" w:hAnsi="Calibri" w:cs="Calibri"/>
                <w:sz w:val="16"/>
                <w:szCs w:val="16"/>
              </w:rPr>
              <w:t>Καταθέσεις</w:t>
            </w:r>
          </w:p>
        </w:tc>
        <w:tc>
          <w:tcPr>
            <w:tcW w:w="465" w:type="pct"/>
            <w:tcBorders>
              <w:left w:val="single" w:sz="4" w:space="0" w:color="FFC000"/>
              <w:right w:val="single" w:sz="4" w:space="0" w:color="FFC000"/>
            </w:tcBorders>
            <w:shd w:val="clear" w:color="auto" w:fill="FFFFFF" w:themeFill="background1"/>
            <w:vAlign w:val="center"/>
          </w:tcPr>
          <w:p w14:paraId="3B514AD2" w14:textId="0566A15A"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49</w:t>
            </w:r>
            <w:r w:rsidR="00465217">
              <w:rPr>
                <w:rFonts w:eastAsiaTheme="minorEastAsia" w:cs="Calibri"/>
                <w:color w:val="000000" w:themeColor="text1"/>
                <w:sz w:val="16"/>
                <w:szCs w:val="16"/>
              </w:rPr>
              <w:t>.</w:t>
            </w:r>
            <w:r>
              <w:rPr>
                <w:rFonts w:eastAsiaTheme="minorEastAsia" w:cs="Calibri"/>
                <w:color w:val="000000" w:themeColor="text1"/>
                <w:sz w:val="16"/>
                <w:szCs w:val="16"/>
              </w:rPr>
              <w:t>636</w:t>
            </w:r>
          </w:p>
        </w:tc>
        <w:tc>
          <w:tcPr>
            <w:tcW w:w="465" w:type="pct"/>
            <w:tcBorders>
              <w:left w:val="single" w:sz="4" w:space="0" w:color="FFC000"/>
              <w:right w:val="single" w:sz="4" w:space="0" w:color="FFC000"/>
            </w:tcBorders>
            <w:shd w:val="clear" w:color="auto" w:fill="FFFFFF" w:themeFill="background1"/>
            <w:vAlign w:val="center"/>
          </w:tcPr>
          <w:p w14:paraId="38B02ECF" w14:textId="2986F07C" w:rsidR="005563F0" w:rsidRPr="00777DF0" w:rsidRDefault="00366C06"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47.</w:t>
            </w:r>
            <w:r w:rsidR="005563F0">
              <w:rPr>
                <w:rFonts w:eastAsiaTheme="minorEastAsia" w:cs="Calibri"/>
                <w:color w:val="000000" w:themeColor="text1"/>
                <w:sz w:val="16"/>
                <w:szCs w:val="16"/>
              </w:rPr>
              <w:t>351</w:t>
            </w:r>
          </w:p>
        </w:tc>
        <w:tc>
          <w:tcPr>
            <w:tcW w:w="499" w:type="pct"/>
            <w:tcBorders>
              <w:left w:val="single" w:sz="4" w:space="0" w:color="FFC000"/>
              <w:right w:val="single" w:sz="18" w:space="0" w:color="FFC000"/>
            </w:tcBorders>
            <w:shd w:val="clear" w:color="auto" w:fill="FFFFFF" w:themeFill="background1"/>
            <w:vAlign w:val="center"/>
          </w:tcPr>
          <w:p w14:paraId="5A0090D7"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5%</w:t>
            </w:r>
          </w:p>
        </w:tc>
        <w:tc>
          <w:tcPr>
            <w:tcW w:w="501" w:type="pct"/>
            <w:tcBorders>
              <w:left w:val="single" w:sz="18" w:space="0" w:color="FFC000"/>
              <w:right w:val="single" w:sz="4" w:space="0" w:color="FFC000"/>
            </w:tcBorders>
            <w:shd w:val="clear" w:color="auto" w:fill="FFFFFF" w:themeFill="background1"/>
            <w:vAlign w:val="center"/>
          </w:tcPr>
          <w:p w14:paraId="62C1798C"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sidRPr="00777DF0">
              <w:rPr>
                <w:rFonts w:eastAsiaTheme="minorEastAsia" w:cs="Calibri"/>
                <w:color w:val="000000" w:themeColor="text1"/>
                <w:sz w:val="16"/>
                <w:szCs w:val="16"/>
              </w:rPr>
              <w:t>47</w:t>
            </w:r>
            <w:r>
              <w:rPr>
                <w:rFonts w:eastAsiaTheme="minorEastAsia" w:cs="Calibri"/>
                <w:color w:val="000000" w:themeColor="text1"/>
                <w:sz w:val="16"/>
                <w:szCs w:val="16"/>
                <w:lang w:val="en-US"/>
              </w:rPr>
              <w:t>.</w:t>
            </w:r>
            <w:r w:rsidRPr="00777DF0">
              <w:rPr>
                <w:rFonts w:eastAsiaTheme="minorEastAsia" w:cs="Calibri"/>
                <w:color w:val="000000" w:themeColor="text1"/>
                <w:sz w:val="16"/>
                <w:szCs w:val="16"/>
              </w:rPr>
              <w:t>088</w:t>
            </w:r>
          </w:p>
        </w:tc>
        <w:tc>
          <w:tcPr>
            <w:tcW w:w="501" w:type="pct"/>
            <w:tcBorders>
              <w:left w:val="single" w:sz="4" w:space="0" w:color="FFC000"/>
              <w:right w:val="single" w:sz="4" w:space="0" w:color="FFC000"/>
            </w:tcBorders>
            <w:shd w:val="clear" w:color="auto" w:fill="FFFFFF" w:themeFill="background1"/>
            <w:vAlign w:val="center"/>
          </w:tcPr>
          <w:p w14:paraId="3360C9D9"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5%</w:t>
            </w:r>
          </w:p>
        </w:tc>
        <w:tc>
          <w:tcPr>
            <w:tcW w:w="572" w:type="pct"/>
            <w:tcBorders>
              <w:left w:val="single" w:sz="4" w:space="0" w:color="FFC000"/>
              <w:right w:val="single" w:sz="4" w:space="0" w:color="FFC000"/>
            </w:tcBorders>
            <w:shd w:val="clear" w:color="auto" w:fill="FFFFFF" w:themeFill="background1"/>
          </w:tcPr>
          <w:p w14:paraId="232C6971" w14:textId="77777777" w:rsidR="005563F0" w:rsidRDefault="005563F0" w:rsidP="006E3E50">
            <w:pPr>
              <w:tabs>
                <w:tab w:val="left" w:pos="284"/>
              </w:tabs>
              <w:spacing w:after="0" w:line="240" w:lineRule="auto"/>
              <w:jc w:val="right"/>
              <w:rPr>
                <w:rFonts w:eastAsiaTheme="minorEastAsia" w:cs="Calibri"/>
                <w:color w:val="000000" w:themeColor="text1"/>
                <w:sz w:val="16"/>
                <w:szCs w:val="16"/>
              </w:rPr>
            </w:pPr>
          </w:p>
        </w:tc>
      </w:tr>
      <w:tr w:rsidR="005563F0" w:rsidRPr="005744FA" w14:paraId="4AA320BA" w14:textId="77777777" w:rsidTr="00BB6F70">
        <w:trPr>
          <w:trHeight w:val="30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1DC6A481" w14:textId="77777777" w:rsidR="005563F0" w:rsidRPr="00777DF0" w:rsidRDefault="005563F0" w:rsidP="006E3E50">
            <w:pPr>
              <w:tabs>
                <w:tab w:val="left" w:pos="284"/>
              </w:tabs>
              <w:spacing w:after="0" w:line="240" w:lineRule="auto"/>
              <w:ind w:right="-201"/>
              <w:rPr>
                <w:rFonts w:eastAsiaTheme="minorEastAsia" w:cs="Calibri"/>
                <w:sz w:val="16"/>
                <w:szCs w:val="16"/>
                <w:vertAlign w:val="superscript"/>
              </w:rPr>
            </w:pPr>
            <w:r w:rsidRPr="002C502D">
              <w:rPr>
                <w:rFonts w:ascii="Calibri" w:eastAsiaTheme="minorEastAsia" w:hAnsi="Calibri" w:cs="Calibri"/>
                <w:sz w:val="16"/>
                <w:szCs w:val="16"/>
              </w:rPr>
              <w:t xml:space="preserve">Δάνεια προ </w:t>
            </w:r>
            <w:proofErr w:type="spellStart"/>
            <w:r w:rsidRPr="002C502D">
              <w:rPr>
                <w:rFonts w:ascii="Calibri" w:eastAsiaTheme="minorEastAsia" w:hAnsi="Calibri" w:cs="Calibri"/>
                <w:sz w:val="16"/>
                <w:szCs w:val="16"/>
              </w:rPr>
              <w:t>Απομειώσεων</w:t>
            </w:r>
            <w:proofErr w:type="spellEnd"/>
            <w:r w:rsidRPr="002C502D">
              <w:rPr>
                <w:rFonts w:ascii="Calibri" w:eastAsiaTheme="minorEastAsia" w:hAnsi="Calibri" w:cs="Calibri"/>
                <w:sz w:val="16"/>
                <w:szCs w:val="16"/>
              </w:rPr>
              <w:t xml:space="preserve"> και Προσαρμογών </w:t>
            </w:r>
          </w:p>
        </w:tc>
        <w:tc>
          <w:tcPr>
            <w:tcW w:w="465" w:type="pct"/>
            <w:tcBorders>
              <w:left w:val="single" w:sz="4" w:space="0" w:color="FFC000"/>
              <w:right w:val="single" w:sz="4" w:space="0" w:color="FFC000"/>
            </w:tcBorders>
            <w:shd w:val="clear" w:color="auto" w:fill="FFFFFF" w:themeFill="background1"/>
            <w:vAlign w:val="center"/>
          </w:tcPr>
          <w:p w14:paraId="68A1ADB8" w14:textId="78F470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48</w:t>
            </w:r>
            <w:r w:rsidR="00465217">
              <w:rPr>
                <w:rFonts w:eastAsiaTheme="minorEastAsia" w:cs="Calibri"/>
                <w:color w:val="000000" w:themeColor="text1"/>
                <w:sz w:val="16"/>
                <w:szCs w:val="16"/>
              </w:rPr>
              <w:t>.</w:t>
            </w:r>
            <w:r>
              <w:rPr>
                <w:rFonts w:eastAsiaTheme="minorEastAsia" w:cs="Calibri"/>
                <w:color w:val="000000" w:themeColor="text1"/>
                <w:sz w:val="16"/>
                <w:szCs w:val="16"/>
              </w:rPr>
              <w:t>013</w:t>
            </w:r>
          </w:p>
        </w:tc>
        <w:tc>
          <w:tcPr>
            <w:tcW w:w="465" w:type="pct"/>
            <w:tcBorders>
              <w:left w:val="single" w:sz="4" w:space="0" w:color="FFC000"/>
              <w:right w:val="single" w:sz="4" w:space="0" w:color="FFC000"/>
            </w:tcBorders>
            <w:shd w:val="clear" w:color="auto" w:fill="FFFFFF" w:themeFill="background1"/>
            <w:vAlign w:val="center"/>
          </w:tcPr>
          <w:p w14:paraId="1D926947" w14:textId="11588EED" w:rsidR="005563F0" w:rsidRPr="00777DF0" w:rsidRDefault="00366C06"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48.</w:t>
            </w:r>
            <w:r w:rsidR="005563F0">
              <w:rPr>
                <w:rFonts w:eastAsiaTheme="minorEastAsia" w:cs="Calibri"/>
                <w:color w:val="000000" w:themeColor="text1"/>
                <w:sz w:val="16"/>
                <w:szCs w:val="16"/>
              </w:rPr>
              <w:t>600</w:t>
            </w:r>
          </w:p>
        </w:tc>
        <w:tc>
          <w:tcPr>
            <w:tcW w:w="499" w:type="pct"/>
            <w:tcBorders>
              <w:left w:val="single" w:sz="4" w:space="0" w:color="FFC000"/>
              <w:right w:val="single" w:sz="18" w:space="0" w:color="FFC000"/>
            </w:tcBorders>
            <w:shd w:val="clear" w:color="auto" w:fill="FFFFFF" w:themeFill="background1"/>
            <w:vAlign w:val="center"/>
          </w:tcPr>
          <w:p w14:paraId="14DD7ED2"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-1%</w:t>
            </w:r>
          </w:p>
        </w:tc>
        <w:tc>
          <w:tcPr>
            <w:tcW w:w="501" w:type="pct"/>
            <w:tcBorders>
              <w:left w:val="single" w:sz="18" w:space="0" w:color="FFC000"/>
              <w:right w:val="single" w:sz="4" w:space="0" w:color="FFC000"/>
            </w:tcBorders>
            <w:shd w:val="clear" w:color="auto" w:fill="FFFFFF" w:themeFill="background1"/>
            <w:vAlign w:val="center"/>
          </w:tcPr>
          <w:p w14:paraId="1056F058"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sidRPr="00777DF0">
              <w:rPr>
                <w:rFonts w:eastAsiaTheme="minorEastAsia" w:cs="Calibri"/>
                <w:color w:val="000000" w:themeColor="text1"/>
                <w:sz w:val="16"/>
                <w:szCs w:val="16"/>
              </w:rPr>
              <w:t>48.488</w:t>
            </w:r>
          </w:p>
        </w:tc>
        <w:tc>
          <w:tcPr>
            <w:tcW w:w="501" w:type="pct"/>
            <w:tcBorders>
              <w:left w:val="single" w:sz="4" w:space="0" w:color="FFC000"/>
              <w:right w:val="single" w:sz="4" w:space="0" w:color="FFC000"/>
            </w:tcBorders>
            <w:shd w:val="clear" w:color="auto" w:fill="FFFFFF" w:themeFill="background1"/>
            <w:vAlign w:val="center"/>
          </w:tcPr>
          <w:p w14:paraId="724F2054"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-1%</w:t>
            </w:r>
          </w:p>
        </w:tc>
        <w:tc>
          <w:tcPr>
            <w:tcW w:w="572" w:type="pct"/>
            <w:tcBorders>
              <w:left w:val="single" w:sz="4" w:space="0" w:color="FFC000"/>
              <w:right w:val="single" w:sz="4" w:space="0" w:color="FFC000"/>
            </w:tcBorders>
            <w:shd w:val="clear" w:color="auto" w:fill="FFFFFF" w:themeFill="background1"/>
          </w:tcPr>
          <w:p w14:paraId="609837D7" w14:textId="77777777" w:rsidR="005563F0" w:rsidRDefault="005563F0" w:rsidP="006E3E50">
            <w:pPr>
              <w:tabs>
                <w:tab w:val="left" w:pos="284"/>
              </w:tabs>
              <w:spacing w:after="0" w:line="240" w:lineRule="auto"/>
              <w:jc w:val="right"/>
              <w:rPr>
                <w:rFonts w:eastAsiaTheme="minorEastAsia" w:cs="Calibri"/>
                <w:color w:val="000000" w:themeColor="text1"/>
                <w:sz w:val="16"/>
                <w:szCs w:val="16"/>
              </w:rPr>
            </w:pPr>
          </w:p>
        </w:tc>
      </w:tr>
      <w:tr w:rsidR="005563F0" w:rsidRPr="005744FA" w14:paraId="2E782D86" w14:textId="77777777" w:rsidTr="00BB6F70">
        <w:trPr>
          <w:trHeight w:val="30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6F2B4F71" w14:textId="77777777" w:rsidR="005563F0" w:rsidRPr="005744FA" w:rsidRDefault="005563F0" w:rsidP="006E3E50">
            <w:pPr>
              <w:tabs>
                <w:tab w:val="left" w:pos="284"/>
              </w:tabs>
              <w:spacing w:after="0" w:line="240" w:lineRule="auto"/>
              <w:rPr>
                <w:rFonts w:eastAsiaTheme="minorEastAsia" w:cs="Calibri"/>
                <w:sz w:val="16"/>
                <w:szCs w:val="16"/>
              </w:rPr>
            </w:pPr>
            <w:r w:rsidRPr="002C502D">
              <w:rPr>
                <w:rFonts w:ascii="Calibri" w:eastAsiaTheme="minorEastAsia" w:hAnsi="Calibri" w:cs="Calibri"/>
                <w:sz w:val="16"/>
                <w:szCs w:val="16"/>
              </w:rPr>
              <w:t>Σωρευμένες Προβλέψεις</w:t>
            </w:r>
          </w:p>
        </w:tc>
        <w:tc>
          <w:tcPr>
            <w:tcW w:w="465" w:type="pct"/>
            <w:tcBorders>
              <w:left w:val="single" w:sz="4" w:space="0" w:color="FFC000"/>
              <w:right w:val="single" w:sz="4" w:space="0" w:color="FFC000"/>
            </w:tcBorders>
            <w:shd w:val="clear" w:color="auto" w:fill="FFFFFF" w:themeFill="background1"/>
            <w:vAlign w:val="center"/>
          </w:tcPr>
          <w:p w14:paraId="6B939404" w14:textId="05F8572E"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9</w:t>
            </w:r>
            <w:r w:rsidR="00465217">
              <w:rPr>
                <w:rFonts w:eastAsiaTheme="minorEastAsia" w:cs="Calibri"/>
                <w:color w:val="000000" w:themeColor="text1"/>
                <w:sz w:val="16"/>
                <w:szCs w:val="16"/>
              </w:rPr>
              <w:t>.</w:t>
            </w:r>
            <w:r>
              <w:rPr>
                <w:rFonts w:eastAsiaTheme="minorEastAsia" w:cs="Calibri"/>
                <w:color w:val="000000" w:themeColor="text1"/>
                <w:sz w:val="16"/>
                <w:szCs w:val="16"/>
              </w:rPr>
              <w:t>904</w:t>
            </w:r>
          </w:p>
        </w:tc>
        <w:tc>
          <w:tcPr>
            <w:tcW w:w="465" w:type="pct"/>
            <w:tcBorders>
              <w:left w:val="single" w:sz="4" w:space="0" w:color="FFC000"/>
              <w:right w:val="single" w:sz="4" w:space="0" w:color="FFC000"/>
            </w:tcBorders>
            <w:shd w:val="clear" w:color="auto" w:fill="FFFFFF" w:themeFill="background1"/>
            <w:vAlign w:val="center"/>
          </w:tcPr>
          <w:p w14:paraId="17A241EF" w14:textId="44946F4D"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10</w:t>
            </w:r>
            <w:r w:rsidR="00465217">
              <w:rPr>
                <w:rFonts w:eastAsiaTheme="minorEastAsia" w:cs="Calibri"/>
                <w:color w:val="000000" w:themeColor="text1"/>
                <w:sz w:val="16"/>
                <w:szCs w:val="16"/>
              </w:rPr>
              <w:t>.</w:t>
            </w:r>
            <w:r>
              <w:rPr>
                <w:rFonts w:eastAsiaTheme="minorEastAsia" w:cs="Calibri"/>
                <w:color w:val="000000" w:themeColor="text1"/>
                <w:sz w:val="16"/>
                <w:szCs w:val="16"/>
              </w:rPr>
              <w:t>986</w:t>
            </w:r>
          </w:p>
        </w:tc>
        <w:tc>
          <w:tcPr>
            <w:tcW w:w="499" w:type="pct"/>
            <w:tcBorders>
              <w:left w:val="single" w:sz="4" w:space="0" w:color="FFC000"/>
              <w:right w:val="single" w:sz="18" w:space="0" w:color="FFC000"/>
            </w:tcBorders>
            <w:shd w:val="clear" w:color="auto" w:fill="FFFFFF" w:themeFill="background1"/>
            <w:vAlign w:val="center"/>
          </w:tcPr>
          <w:p w14:paraId="46C837A1"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-10%</w:t>
            </w:r>
          </w:p>
        </w:tc>
        <w:tc>
          <w:tcPr>
            <w:tcW w:w="501" w:type="pct"/>
            <w:tcBorders>
              <w:left w:val="single" w:sz="18" w:space="0" w:color="FFC000"/>
              <w:right w:val="single" w:sz="4" w:space="0" w:color="FFC000"/>
            </w:tcBorders>
            <w:shd w:val="clear" w:color="auto" w:fill="FFFFFF" w:themeFill="background1"/>
            <w:vAlign w:val="center"/>
          </w:tcPr>
          <w:p w14:paraId="0A0AF21C"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sidRPr="00777DF0">
              <w:rPr>
                <w:rFonts w:eastAsiaTheme="minorEastAsia" w:cs="Calibri"/>
                <w:color w:val="000000" w:themeColor="text1"/>
                <w:sz w:val="16"/>
                <w:szCs w:val="16"/>
              </w:rPr>
              <w:t>10.208</w:t>
            </w:r>
          </w:p>
        </w:tc>
        <w:tc>
          <w:tcPr>
            <w:tcW w:w="501" w:type="pct"/>
            <w:tcBorders>
              <w:left w:val="single" w:sz="4" w:space="0" w:color="FFC000"/>
              <w:right w:val="single" w:sz="4" w:space="0" w:color="FFC000"/>
            </w:tcBorders>
            <w:shd w:val="clear" w:color="auto" w:fill="FFFFFF" w:themeFill="background1"/>
            <w:vAlign w:val="center"/>
          </w:tcPr>
          <w:p w14:paraId="60F6CEBF"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rPr>
              <w:t>-3%</w:t>
            </w:r>
          </w:p>
        </w:tc>
        <w:tc>
          <w:tcPr>
            <w:tcW w:w="572" w:type="pct"/>
            <w:tcBorders>
              <w:left w:val="single" w:sz="4" w:space="0" w:color="FFC000"/>
              <w:right w:val="single" w:sz="4" w:space="0" w:color="FFC000"/>
            </w:tcBorders>
            <w:shd w:val="clear" w:color="auto" w:fill="FFFFFF" w:themeFill="background1"/>
          </w:tcPr>
          <w:p w14:paraId="77666686" w14:textId="77777777" w:rsidR="005563F0" w:rsidRDefault="005563F0" w:rsidP="006E3E50">
            <w:pPr>
              <w:tabs>
                <w:tab w:val="left" w:pos="284"/>
              </w:tabs>
              <w:spacing w:after="0" w:line="240" w:lineRule="auto"/>
              <w:jc w:val="right"/>
              <w:rPr>
                <w:rFonts w:eastAsiaTheme="minorEastAsia" w:cs="Calibri"/>
                <w:color w:val="000000" w:themeColor="text1"/>
                <w:sz w:val="16"/>
                <w:szCs w:val="16"/>
              </w:rPr>
            </w:pPr>
          </w:p>
        </w:tc>
      </w:tr>
      <w:tr w:rsidR="005563F0" w:rsidRPr="005744FA" w14:paraId="523088C5" w14:textId="77777777" w:rsidTr="00BB6F70">
        <w:trPr>
          <w:trHeight w:val="30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5377377C" w14:textId="77777777" w:rsidR="005563F0" w:rsidRPr="00777DF0" w:rsidRDefault="005563F0" w:rsidP="006E3E50">
            <w:pPr>
              <w:tabs>
                <w:tab w:val="left" w:pos="284"/>
              </w:tabs>
              <w:spacing w:after="0" w:line="240" w:lineRule="auto"/>
              <w:rPr>
                <w:rFonts w:eastAsiaTheme="minorEastAsia" w:cs="Calibri"/>
                <w:sz w:val="16"/>
                <w:szCs w:val="16"/>
              </w:rPr>
            </w:pPr>
            <w:r w:rsidRPr="002C502D">
              <w:rPr>
                <w:rFonts w:ascii="Calibri" w:eastAsiaTheme="minorEastAsia" w:hAnsi="Calibri" w:cs="Calibri"/>
                <w:sz w:val="16"/>
                <w:szCs w:val="16"/>
              </w:rPr>
              <w:t>Σύνολο Ιδίων Κεφαλαίων</w:t>
            </w:r>
          </w:p>
        </w:tc>
        <w:tc>
          <w:tcPr>
            <w:tcW w:w="465" w:type="pct"/>
            <w:tcBorders>
              <w:left w:val="single" w:sz="4" w:space="0" w:color="FFC000"/>
              <w:right w:val="single" w:sz="4" w:space="0" w:color="FFC000"/>
            </w:tcBorders>
            <w:shd w:val="clear" w:color="auto" w:fill="FFFFFF" w:themeFill="background1"/>
            <w:vAlign w:val="center"/>
          </w:tcPr>
          <w:p w14:paraId="1F9866AB" w14:textId="4C2D1C45"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lang w:val="en-US"/>
              </w:rPr>
              <w:t>7</w:t>
            </w:r>
            <w:r w:rsidR="00465217">
              <w:rPr>
                <w:rFonts w:eastAsiaTheme="minorEastAsia" w:cs="Calibri"/>
                <w:color w:val="000000" w:themeColor="text1"/>
                <w:sz w:val="16"/>
                <w:szCs w:val="16"/>
              </w:rPr>
              <w:t>.</w:t>
            </w:r>
            <w:r>
              <w:rPr>
                <w:rFonts w:eastAsiaTheme="minorEastAsia" w:cs="Calibri"/>
                <w:color w:val="000000" w:themeColor="text1"/>
                <w:sz w:val="16"/>
                <w:szCs w:val="16"/>
                <w:lang w:val="en-US"/>
              </w:rPr>
              <w:t>153</w:t>
            </w:r>
          </w:p>
        </w:tc>
        <w:tc>
          <w:tcPr>
            <w:tcW w:w="465" w:type="pct"/>
            <w:tcBorders>
              <w:left w:val="single" w:sz="4" w:space="0" w:color="FFC000"/>
              <w:right w:val="single" w:sz="4" w:space="0" w:color="FFC000"/>
            </w:tcBorders>
            <w:shd w:val="clear" w:color="auto" w:fill="FFFFFF" w:themeFill="background1"/>
            <w:vAlign w:val="center"/>
          </w:tcPr>
          <w:p w14:paraId="34A760B3" w14:textId="67AA413B"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lang w:val="en-US"/>
              </w:rPr>
              <w:t>7</w:t>
            </w:r>
            <w:r w:rsidR="00465217">
              <w:rPr>
                <w:rFonts w:eastAsiaTheme="minorEastAsia" w:cs="Calibri"/>
                <w:color w:val="000000" w:themeColor="text1"/>
                <w:sz w:val="16"/>
                <w:szCs w:val="16"/>
              </w:rPr>
              <w:t>.</w:t>
            </w:r>
            <w:r>
              <w:rPr>
                <w:rFonts w:eastAsiaTheme="minorEastAsia" w:cs="Calibri"/>
                <w:color w:val="000000" w:themeColor="text1"/>
                <w:sz w:val="16"/>
                <w:szCs w:val="16"/>
                <w:lang w:val="en-US"/>
              </w:rPr>
              <w:t>773</w:t>
            </w:r>
          </w:p>
        </w:tc>
        <w:tc>
          <w:tcPr>
            <w:tcW w:w="499" w:type="pct"/>
            <w:tcBorders>
              <w:left w:val="single" w:sz="4" w:space="0" w:color="FFC000"/>
              <w:right w:val="single" w:sz="18" w:space="0" w:color="FFC000"/>
            </w:tcBorders>
            <w:shd w:val="clear" w:color="auto" w:fill="FFFFFF" w:themeFill="background1"/>
            <w:vAlign w:val="center"/>
          </w:tcPr>
          <w:p w14:paraId="14357DCF"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highlight w:val="yellow"/>
              </w:rPr>
            </w:pPr>
            <w:r>
              <w:rPr>
                <w:rFonts w:eastAsiaTheme="minorEastAsia" w:cs="Calibri"/>
                <w:color w:val="000000" w:themeColor="text1"/>
                <w:sz w:val="16"/>
                <w:szCs w:val="16"/>
                <w:lang w:val="en-US"/>
              </w:rPr>
              <w:t>-8%</w:t>
            </w:r>
          </w:p>
        </w:tc>
        <w:tc>
          <w:tcPr>
            <w:tcW w:w="501" w:type="pct"/>
            <w:tcBorders>
              <w:left w:val="single" w:sz="18" w:space="0" w:color="FFC000"/>
              <w:right w:val="single" w:sz="4" w:space="0" w:color="FFC000"/>
            </w:tcBorders>
            <w:shd w:val="clear" w:color="auto" w:fill="FFFFFF" w:themeFill="background1"/>
            <w:vAlign w:val="center"/>
          </w:tcPr>
          <w:p w14:paraId="63282C50"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sidRPr="00777DF0">
              <w:rPr>
                <w:rFonts w:eastAsiaTheme="minorEastAsia" w:cs="Calibri"/>
                <w:color w:val="000000" w:themeColor="text1"/>
                <w:sz w:val="16"/>
                <w:szCs w:val="16"/>
              </w:rPr>
              <w:t>7.648</w:t>
            </w:r>
          </w:p>
        </w:tc>
        <w:tc>
          <w:tcPr>
            <w:tcW w:w="501" w:type="pct"/>
            <w:tcBorders>
              <w:left w:val="single" w:sz="4" w:space="0" w:color="FFC000"/>
              <w:right w:val="single" w:sz="4" w:space="0" w:color="FFC000"/>
            </w:tcBorders>
            <w:shd w:val="clear" w:color="auto" w:fill="FFFFFF" w:themeFill="background1"/>
            <w:vAlign w:val="center"/>
          </w:tcPr>
          <w:p w14:paraId="1738E928"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r>
              <w:rPr>
                <w:rFonts w:eastAsiaTheme="minorEastAsia" w:cs="Calibri"/>
                <w:color w:val="000000" w:themeColor="text1"/>
                <w:sz w:val="16"/>
                <w:szCs w:val="16"/>
                <w:lang w:val="en-US"/>
              </w:rPr>
              <w:t>-6%</w:t>
            </w:r>
          </w:p>
        </w:tc>
        <w:tc>
          <w:tcPr>
            <w:tcW w:w="572" w:type="pct"/>
            <w:tcBorders>
              <w:left w:val="single" w:sz="4" w:space="0" w:color="FFC000"/>
              <w:right w:val="single" w:sz="4" w:space="0" w:color="FFC000"/>
            </w:tcBorders>
            <w:shd w:val="clear" w:color="auto" w:fill="FFFFFF" w:themeFill="background1"/>
          </w:tcPr>
          <w:p w14:paraId="7D55732D" w14:textId="77777777" w:rsidR="005563F0" w:rsidRDefault="005563F0" w:rsidP="006E3E50">
            <w:pPr>
              <w:tabs>
                <w:tab w:val="left" w:pos="284"/>
              </w:tabs>
              <w:spacing w:after="0" w:line="240" w:lineRule="auto"/>
              <w:jc w:val="right"/>
              <w:rPr>
                <w:rFonts w:eastAsiaTheme="minorEastAsia" w:cs="Calibri"/>
                <w:color w:val="000000" w:themeColor="text1"/>
                <w:sz w:val="16"/>
                <w:szCs w:val="16"/>
                <w:lang w:val="en-US"/>
              </w:rPr>
            </w:pPr>
          </w:p>
        </w:tc>
      </w:tr>
      <w:tr w:rsidR="005563F0" w:rsidRPr="005744FA" w14:paraId="3DFCAD41" w14:textId="77777777" w:rsidTr="00BB6F70">
        <w:trPr>
          <w:trHeight w:val="63"/>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2AFBDE7C" w14:textId="77777777" w:rsidR="005563F0" w:rsidRPr="00777DF0" w:rsidRDefault="005563F0" w:rsidP="006E3E50">
            <w:pPr>
              <w:tabs>
                <w:tab w:val="left" w:pos="284"/>
              </w:tabs>
              <w:spacing w:after="0" w:line="240" w:lineRule="auto"/>
              <w:rPr>
                <w:rFonts w:ascii="Calibri" w:eastAsiaTheme="minorEastAsia" w:hAnsi="Calibri" w:cs="Calibri"/>
                <w:sz w:val="16"/>
                <w:szCs w:val="16"/>
              </w:rPr>
            </w:pPr>
          </w:p>
        </w:tc>
        <w:tc>
          <w:tcPr>
            <w:tcW w:w="465" w:type="pct"/>
            <w:tcBorders>
              <w:left w:val="single" w:sz="4" w:space="0" w:color="FFC000"/>
              <w:right w:val="single" w:sz="4" w:space="0" w:color="FFC000"/>
            </w:tcBorders>
            <w:shd w:val="clear" w:color="auto" w:fill="FFFFFF" w:themeFill="background1"/>
            <w:vAlign w:val="center"/>
          </w:tcPr>
          <w:p w14:paraId="1B930AA0"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p>
        </w:tc>
        <w:tc>
          <w:tcPr>
            <w:tcW w:w="465" w:type="pct"/>
            <w:tcBorders>
              <w:left w:val="single" w:sz="4" w:space="0" w:color="FFC000"/>
              <w:right w:val="single" w:sz="4" w:space="0" w:color="FFC000"/>
            </w:tcBorders>
            <w:shd w:val="clear" w:color="auto" w:fill="FFFFFF" w:themeFill="background1"/>
            <w:vAlign w:val="center"/>
          </w:tcPr>
          <w:p w14:paraId="730B4BDA" w14:textId="77777777" w:rsidR="005563F0" w:rsidRPr="00777DF0" w:rsidRDefault="005563F0" w:rsidP="006E3E50">
            <w:pPr>
              <w:tabs>
                <w:tab w:val="left" w:pos="284"/>
              </w:tabs>
              <w:spacing w:after="0" w:line="240" w:lineRule="auto"/>
              <w:jc w:val="right"/>
              <w:rPr>
                <w:rFonts w:eastAsiaTheme="minorEastAsia" w:cs="Calibri"/>
                <w:color w:val="000000" w:themeColor="text1"/>
                <w:sz w:val="16"/>
                <w:szCs w:val="16"/>
              </w:rPr>
            </w:pPr>
          </w:p>
        </w:tc>
        <w:tc>
          <w:tcPr>
            <w:tcW w:w="499" w:type="pct"/>
            <w:tcBorders>
              <w:left w:val="single" w:sz="4" w:space="0" w:color="FFC000"/>
              <w:right w:val="single" w:sz="18" w:space="0" w:color="FFC000"/>
            </w:tcBorders>
            <w:shd w:val="clear" w:color="auto" w:fill="FFFFFF" w:themeFill="background1"/>
            <w:vAlign w:val="center"/>
          </w:tcPr>
          <w:p w14:paraId="1369DF16" w14:textId="77777777" w:rsidR="005563F0" w:rsidRPr="00777DF0" w:rsidRDefault="005563F0" w:rsidP="006E3E50">
            <w:pPr>
              <w:tabs>
                <w:tab w:val="left" w:pos="284"/>
              </w:tabs>
              <w:spacing w:after="0" w:line="240" w:lineRule="auto"/>
              <w:jc w:val="right"/>
              <w:rPr>
                <w:rFonts w:eastAsiaTheme="minorEastAsia" w:cs="Calibri"/>
                <w:sz w:val="16"/>
                <w:szCs w:val="16"/>
              </w:rPr>
            </w:pPr>
          </w:p>
        </w:tc>
        <w:tc>
          <w:tcPr>
            <w:tcW w:w="501" w:type="pct"/>
            <w:tcBorders>
              <w:left w:val="single" w:sz="18" w:space="0" w:color="FFC000"/>
              <w:right w:val="single" w:sz="4" w:space="0" w:color="FFC000"/>
            </w:tcBorders>
            <w:shd w:val="clear" w:color="auto" w:fill="FFFFFF" w:themeFill="background1"/>
            <w:vAlign w:val="center"/>
          </w:tcPr>
          <w:p w14:paraId="5FA01041" w14:textId="77777777" w:rsidR="005563F0" w:rsidRPr="00777DF0" w:rsidRDefault="005563F0" w:rsidP="006E3E50">
            <w:pPr>
              <w:tabs>
                <w:tab w:val="left" w:pos="284"/>
              </w:tabs>
              <w:spacing w:after="0" w:line="240" w:lineRule="auto"/>
              <w:jc w:val="right"/>
              <w:rPr>
                <w:rFonts w:eastAsiaTheme="minorEastAsia" w:cs="Calibri"/>
                <w:sz w:val="16"/>
                <w:szCs w:val="16"/>
              </w:rPr>
            </w:pPr>
          </w:p>
        </w:tc>
        <w:tc>
          <w:tcPr>
            <w:tcW w:w="501" w:type="pct"/>
            <w:tcBorders>
              <w:left w:val="single" w:sz="4" w:space="0" w:color="FFC000"/>
              <w:right w:val="single" w:sz="4" w:space="0" w:color="FFC000"/>
            </w:tcBorders>
            <w:shd w:val="clear" w:color="auto" w:fill="FFFFFF" w:themeFill="background1"/>
          </w:tcPr>
          <w:p w14:paraId="1A9C6F79" w14:textId="77777777" w:rsidR="005563F0" w:rsidRPr="00777DF0" w:rsidRDefault="005563F0" w:rsidP="006E3E50">
            <w:pPr>
              <w:tabs>
                <w:tab w:val="left" w:pos="284"/>
              </w:tabs>
              <w:spacing w:after="0" w:line="240" w:lineRule="auto"/>
              <w:jc w:val="right"/>
              <w:rPr>
                <w:rFonts w:eastAsiaTheme="minorEastAsia" w:cs="Calibri"/>
                <w:sz w:val="16"/>
                <w:szCs w:val="16"/>
              </w:rPr>
            </w:pPr>
          </w:p>
        </w:tc>
        <w:tc>
          <w:tcPr>
            <w:tcW w:w="572" w:type="pct"/>
            <w:tcBorders>
              <w:left w:val="single" w:sz="4" w:space="0" w:color="FFC000"/>
              <w:right w:val="single" w:sz="4" w:space="0" w:color="FFC000"/>
            </w:tcBorders>
            <w:shd w:val="clear" w:color="auto" w:fill="FFFFFF" w:themeFill="background1"/>
          </w:tcPr>
          <w:p w14:paraId="7E6D30F9" w14:textId="77777777" w:rsidR="005563F0" w:rsidRPr="00777DF0" w:rsidRDefault="005563F0" w:rsidP="006E3E50">
            <w:pPr>
              <w:tabs>
                <w:tab w:val="left" w:pos="284"/>
              </w:tabs>
              <w:spacing w:after="0" w:line="240" w:lineRule="auto"/>
              <w:jc w:val="right"/>
              <w:rPr>
                <w:rFonts w:eastAsiaTheme="minorEastAsia" w:cs="Calibri"/>
                <w:sz w:val="16"/>
                <w:szCs w:val="16"/>
              </w:rPr>
            </w:pPr>
          </w:p>
        </w:tc>
      </w:tr>
      <w:tr w:rsidR="005563F0" w:rsidRPr="005744FA" w14:paraId="4880D622" w14:textId="77777777" w:rsidTr="00BB6F70">
        <w:trPr>
          <w:trHeight w:val="419"/>
        </w:trPr>
        <w:tc>
          <w:tcPr>
            <w:tcW w:w="1998" w:type="pct"/>
            <w:tcBorders>
              <w:left w:val="single" w:sz="4" w:space="0" w:color="FFC000"/>
            </w:tcBorders>
            <w:shd w:val="clear" w:color="auto" w:fill="DCDCD7"/>
            <w:tcMar>
              <w:right w:w="113" w:type="dxa"/>
            </w:tcMar>
            <w:vAlign w:val="center"/>
          </w:tcPr>
          <w:p w14:paraId="218F6690" w14:textId="77777777" w:rsidR="005563F0" w:rsidRPr="00777DF0" w:rsidRDefault="005563F0" w:rsidP="006E3E50">
            <w:pPr>
              <w:tabs>
                <w:tab w:val="left" w:pos="284"/>
              </w:tabs>
              <w:spacing w:after="0"/>
              <w:rPr>
                <w:rFonts w:eastAsiaTheme="minorEastAsia" w:cs="Calibri"/>
                <w:color w:val="003C96" w:themeColor="text2"/>
                <w:sz w:val="16"/>
                <w:szCs w:val="16"/>
              </w:rPr>
            </w:pPr>
            <w:r w:rsidRPr="00777DF0">
              <w:rPr>
                <w:rFonts w:ascii="Calibri" w:eastAsiaTheme="minorEastAsia" w:hAnsi="Calibri" w:cs="Calibri"/>
                <w:color w:val="003C96" w:themeColor="text2"/>
                <w:sz w:val="16"/>
                <w:szCs w:val="16"/>
                <w:lang w:val="en-GB"/>
              </w:rPr>
              <w:t>Επ</w:t>
            </w:r>
            <w:proofErr w:type="spellStart"/>
            <w:r w:rsidRPr="00777DF0">
              <w:rPr>
                <w:rFonts w:ascii="Calibri" w:eastAsiaTheme="minorEastAsia" w:hAnsi="Calibri" w:cs="Calibri"/>
                <w:color w:val="003C96" w:themeColor="text2"/>
                <w:sz w:val="16"/>
                <w:szCs w:val="16"/>
                <w:lang w:val="en-GB"/>
              </w:rPr>
              <w:t>ιλεγμέν</w:t>
            </w:r>
            <w:proofErr w:type="spellEnd"/>
            <w:r w:rsidRPr="00777DF0">
              <w:rPr>
                <w:rFonts w:ascii="Calibri" w:eastAsiaTheme="minorEastAsia" w:hAnsi="Calibri" w:cs="Calibri"/>
                <w:color w:val="003C96" w:themeColor="text2"/>
                <w:sz w:val="16"/>
                <w:szCs w:val="16"/>
                <w:lang w:val="en-GB"/>
              </w:rPr>
              <w:t>α Απ</w:t>
            </w:r>
            <w:proofErr w:type="spellStart"/>
            <w:r w:rsidRPr="00777DF0">
              <w:rPr>
                <w:rFonts w:ascii="Calibri" w:eastAsiaTheme="minorEastAsia" w:hAnsi="Calibri" w:cs="Calibri"/>
                <w:color w:val="003C96" w:themeColor="text2"/>
                <w:sz w:val="16"/>
                <w:szCs w:val="16"/>
                <w:lang w:val="en-GB"/>
              </w:rPr>
              <w:t>οτελέσμ</w:t>
            </w:r>
            <w:proofErr w:type="spellEnd"/>
            <w:r w:rsidRPr="00777DF0">
              <w:rPr>
                <w:rFonts w:ascii="Calibri" w:eastAsiaTheme="minorEastAsia" w:hAnsi="Calibri" w:cs="Calibri"/>
                <w:color w:val="003C96" w:themeColor="text2"/>
                <w:sz w:val="16"/>
                <w:szCs w:val="16"/>
                <w:lang w:val="en-GB"/>
              </w:rPr>
              <w:t>ατα</w:t>
            </w:r>
          </w:p>
        </w:tc>
        <w:tc>
          <w:tcPr>
            <w:tcW w:w="465" w:type="pct"/>
            <w:shd w:val="clear" w:color="auto" w:fill="DCDCD7"/>
            <w:vAlign w:val="center"/>
          </w:tcPr>
          <w:p w14:paraId="155E74E3" w14:textId="77777777" w:rsidR="005563F0" w:rsidRPr="00777DF0" w:rsidRDefault="005563F0" w:rsidP="006E3E50">
            <w:pPr>
              <w:spacing w:after="0"/>
              <w:ind w:right="-57"/>
              <w:jc w:val="center"/>
              <w:rPr>
                <w:rFonts w:eastAsiaTheme="minorEastAsia" w:cs="Calibri"/>
                <w:color w:val="003C96" w:themeColor="text2"/>
                <w:sz w:val="16"/>
                <w:szCs w:val="16"/>
              </w:rPr>
            </w:pPr>
            <w:r>
              <w:rPr>
                <w:rFonts w:ascii="Calibri" w:eastAsiaTheme="minorEastAsia" w:hAnsi="Calibri" w:cs="Calibri"/>
                <w:color w:val="003C96" w:themeColor="text2"/>
                <w:sz w:val="16"/>
                <w:szCs w:val="16"/>
                <w:lang w:val="en-GB"/>
              </w:rPr>
              <w:t>2020</w:t>
            </w:r>
          </w:p>
        </w:tc>
        <w:tc>
          <w:tcPr>
            <w:tcW w:w="465" w:type="pct"/>
            <w:shd w:val="clear" w:color="auto" w:fill="DCDCD7"/>
            <w:vAlign w:val="center"/>
          </w:tcPr>
          <w:p w14:paraId="63B6E262" w14:textId="77777777" w:rsidR="005563F0" w:rsidRPr="001D0734" w:rsidRDefault="005563F0" w:rsidP="006E3E50">
            <w:pPr>
              <w:spacing w:after="0"/>
              <w:ind w:right="-166"/>
              <w:jc w:val="center"/>
              <w:rPr>
                <w:rFonts w:eastAsiaTheme="minorEastAsia" w:cs="Calibri"/>
                <w:color w:val="003C96" w:themeColor="text2"/>
                <w:sz w:val="16"/>
                <w:szCs w:val="16"/>
              </w:rPr>
            </w:pPr>
            <w:r>
              <w:rPr>
                <w:rFonts w:eastAsiaTheme="minorEastAsia" w:cs="Calibri"/>
                <w:color w:val="003C96" w:themeColor="text2"/>
                <w:sz w:val="16"/>
                <w:szCs w:val="16"/>
                <w:lang w:val="en-GB"/>
              </w:rPr>
              <w:t>20</w:t>
            </w:r>
            <w:r>
              <w:rPr>
                <w:rFonts w:eastAsiaTheme="minorEastAsia" w:cs="Calibri"/>
                <w:color w:val="003C96" w:themeColor="text2"/>
                <w:sz w:val="16"/>
                <w:szCs w:val="16"/>
              </w:rPr>
              <w:t>19</w:t>
            </w:r>
          </w:p>
        </w:tc>
        <w:tc>
          <w:tcPr>
            <w:tcW w:w="499" w:type="pct"/>
            <w:shd w:val="clear" w:color="auto" w:fill="DCDCD7"/>
            <w:vAlign w:val="center"/>
          </w:tcPr>
          <w:p w14:paraId="7A17B319" w14:textId="77777777" w:rsidR="005563F0" w:rsidRDefault="005563F0" w:rsidP="006E3E50">
            <w:pPr>
              <w:tabs>
                <w:tab w:val="left" w:pos="284"/>
              </w:tabs>
              <w:spacing w:after="0"/>
              <w:jc w:val="center"/>
              <w:rPr>
                <w:rFonts w:ascii="Calibri" w:eastAsiaTheme="minorEastAsia" w:hAnsi="Calibri" w:cs="Calibri"/>
                <w:color w:val="003C96" w:themeColor="text2"/>
                <w:sz w:val="16"/>
                <w:szCs w:val="16"/>
              </w:rPr>
            </w:pPr>
            <w:r>
              <w:rPr>
                <w:rFonts w:ascii="Calibri" w:eastAsiaTheme="minorEastAsia" w:hAnsi="Calibri" w:cs="Calibri"/>
                <w:color w:val="003C96" w:themeColor="text2"/>
                <w:sz w:val="16"/>
                <w:szCs w:val="16"/>
              </w:rPr>
              <w:t>Δ%</w:t>
            </w:r>
            <w:r w:rsidRPr="00777DF0">
              <w:rPr>
                <w:rFonts w:ascii="Calibri" w:eastAsiaTheme="minorEastAsia" w:hAnsi="Calibri" w:cs="Calibri"/>
                <w:color w:val="003C96" w:themeColor="text2"/>
                <w:sz w:val="16"/>
                <w:szCs w:val="16"/>
              </w:rPr>
              <w:t xml:space="preserve"> </w:t>
            </w:r>
          </w:p>
          <w:p w14:paraId="7A3EBCB1" w14:textId="77777777" w:rsidR="005563F0" w:rsidRPr="00777DF0" w:rsidRDefault="005563F0" w:rsidP="006E3E50">
            <w:pPr>
              <w:tabs>
                <w:tab w:val="left" w:pos="284"/>
              </w:tabs>
              <w:spacing w:after="0"/>
              <w:jc w:val="center"/>
              <w:rPr>
                <w:rFonts w:eastAsiaTheme="minorEastAsia" w:cs="Calibri"/>
                <w:color w:val="003C96" w:themeColor="text2"/>
                <w:sz w:val="16"/>
                <w:szCs w:val="16"/>
              </w:rPr>
            </w:pPr>
            <w:r>
              <w:rPr>
                <w:rFonts w:ascii="Calibri" w:eastAsiaTheme="minorEastAsia" w:hAnsi="Calibri" w:cs="Calibri"/>
                <w:color w:val="003C96" w:themeColor="text2"/>
                <w:sz w:val="14"/>
                <w:szCs w:val="14"/>
              </w:rPr>
              <w:t>ετησίως</w:t>
            </w:r>
          </w:p>
        </w:tc>
        <w:tc>
          <w:tcPr>
            <w:tcW w:w="501" w:type="pct"/>
            <w:tcBorders>
              <w:left w:val="single" w:sz="18" w:space="0" w:color="FFC000"/>
            </w:tcBorders>
            <w:shd w:val="clear" w:color="auto" w:fill="DCDCD7"/>
            <w:vAlign w:val="center"/>
          </w:tcPr>
          <w:p w14:paraId="53D9C0D2" w14:textId="77777777" w:rsidR="005563F0" w:rsidRPr="00777DF0" w:rsidRDefault="005563F0" w:rsidP="006E3E50">
            <w:pPr>
              <w:tabs>
                <w:tab w:val="left" w:pos="284"/>
              </w:tabs>
              <w:spacing w:after="0"/>
              <w:jc w:val="center"/>
              <w:rPr>
                <w:rFonts w:eastAsiaTheme="minorEastAsia" w:cs="Calibri"/>
                <w:color w:val="003C96" w:themeColor="text2"/>
                <w:sz w:val="16"/>
                <w:szCs w:val="16"/>
              </w:rPr>
            </w:pPr>
            <w:r>
              <w:rPr>
                <w:rFonts w:ascii="Calibri" w:eastAsiaTheme="minorEastAsia" w:hAnsi="Calibri" w:cs="Calibri"/>
                <w:color w:val="003C96" w:themeColor="text2"/>
                <w:sz w:val="16"/>
                <w:szCs w:val="16"/>
              </w:rPr>
              <w:t>4</w:t>
            </w:r>
            <w:r w:rsidRPr="001D0734">
              <w:rPr>
                <w:rFonts w:ascii="Calibri" w:eastAsiaTheme="minorEastAsia" w:hAnsi="Calibri" w:cs="Calibri"/>
                <w:color w:val="003C96" w:themeColor="text2"/>
                <w:sz w:val="16"/>
                <w:szCs w:val="16"/>
                <w:vertAlign w:val="superscript"/>
              </w:rPr>
              <w:t>ο</w:t>
            </w:r>
            <w:r>
              <w:rPr>
                <w:rFonts w:ascii="Calibri" w:eastAsiaTheme="minorEastAsia" w:hAnsi="Calibri" w:cs="Calibri"/>
                <w:color w:val="003C96" w:themeColor="text2"/>
                <w:sz w:val="16"/>
                <w:szCs w:val="16"/>
              </w:rPr>
              <w:t xml:space="preserve"> τρίμηνο</w:t>
            </w:r>
            <w:r w:rsidRPr="00777DF0">
              <w:rPr>
                <w:rFonts w:ascii="Calibri" w:eastAsiaTheme="minorEastAsia" w:hAnsi="Calibri" w:cs="Calibri"/>
                <w:color w:val="003C96" w:themeColor="text2"/>
                <w:sz w:val="16"/>
                <w:szCs w:val="16"/>
              </w:rPr>
              <w:t xml:space="preserve"> 2020</w:t>
            </w:r>
          </w:p>
        </w:tc>
        <w:tc>
          <w:tcPr>
            <w:tcW w:w="501" w:type="pct"/>
            <w:tcBorders>
              <w:right w:val="single" w:sz="4" w:space="0" w:color="FFC000"/>
            </w:tcBorders>
            <w:shd w:val="clear" w:color="auto" w:fill="DCDCD7"/>
            <w:vAlign w:val="center"/>
          </w:tcPr>
          <w:p w14:paraId="63C70F21" w14:textId="77777777" w:rsidR="005563F0" w:rsidRPr="009A7861" w:rsidRDefault="005563F0" w:rsidP="006E3E50">
            <w:pPr>
              <w:spacing w:after="0"/>
              <w:ind w:right="-57"/>
              <w:jc w:val="center"/>
              <w:rPr>
                <w:rFonts w:ascii="Calibri" w:eastAsiaTheme="minorEastAsia" w:hAnsi="Calibri" w:cs="Calibri"/>
                <w:color w:val="003C96" w:themeColor="text2"/>
                <w:sz w:val="14"/>
                <w:szCs w:val="14"/>
              </w:rPr>
            </w:pPr>
            <w:r>
              <w:rPr>
                <w:rFonts w:ascii="Calibri" w:eastAsiaTheme="minorEastAsia" w:hAnsi="Calibri" w:cs="Calibri"/>
                <w:color w:val="003C96" w:themeColor="text2"/>
                <w:sz w:val="16"/>
                <w:szCs w:val="16"/>
              </w:rPr>
              <w:t>3</w:t>
            </w:r>
            <w:r w:rsidRPr="001D0734">
              <w:rPr>
                <w:rFonts w:ascii="Calibri" w:eastAsiaTheme="minorEastAsia" w:hAnsi="Calibri" w:cs="Calibri"/>
                <w:color w:val="003C96" w:themeColor="text2"/>
                <w:sz w:val="16"/>
                <w:szCs w:val="16"/>
                <w:vertAlign w:val="superscript"/>
              </w:rPr>
              <w:t>ο</w:t>
            </w:r>
            <w:r>
              <w:rPr>
                <w:rFonts w:ascii="Calibri" w:eastAsiaTheme="minorEastAsia" w:hAnsi="Calibri" w:cs="Calibri"/>
                <w:color w:val="003C96" w:themeColor="text2"/>
                <w:sz w:val="16"/>
                <w:szCs w:val="16"/>
              </w:rPr>
              <w:t xml:space="preserve"> τρίμηνο 2020</w:t>
            </w:r>
          </w:p>
        </w:tc>
        <w:tc>
          <w:tcPr>
            <w:tcW w:w="572" w:type="pct"/>
            <w:tcBorders>
              <w:right w:val="single" w:sz="4" w:space="0" w:color="FFC000"/>
            </w:tcBorders>
            <w:shd w:val="clear" w:color="auto" w:fill="DCDCD7"/>
          </w:tcPr>
          <w:p w14:paraId="669C52D5" w14:textId="77777777" w:rsidR="005563F0" w:rsidRPr="001D0734" w:rsidRDefault="005563F0" w:rsidP="006E3E50">
            <w:pPr>
              <w:spacing w:after="0"/>
              <w:ind w:right="-57"/>
              <w:jc w:val="center"/>
              <w:rPr>
                <w:rFonts w:ascii="Calibri" w:eastAsiaTheme="minorEastAsia" w:hAnsi="Calibri" w:cs="Calibri"/>
                <w:color w:val="003C96" w:themeColor="text2"/>
                <w:sz w:val="16"/>
                <w:szCs w:val="16"/>
              </w:rPr>
            </w:pPr>
            <w:r w:rsidRPr="001D0734">
              <w:rPr>
                <w:rFonts w:ascii="Calibri" w:eastAsiaTheme="minorEastAsia" w:hAnsi="Calibri" w:cs="Calibri"/>
                <w:color w:val="003C96" w:themeColor="text2"/>
                <w:sz w:val="16"/>
                <w:szCs w:val="16"/>
              </w:rPr>
              <w:t>Δ%</w:t>
            </w:r>
          </w:p>
          <w:p w14:paraId="16229A29" w14:textId="77777777" w:rsidR="005563F0" w:rsidRPr="00777DF0" w:rsidRDefault="005563F0" w:rsidP="006E3E50">
            <w:pPr>
              <w:spacing w:after="0"/>
              <w:ind w:right="-57"/>
              <w:jc w:val="center"/>
              <w:rPr>
                <w:rFonts w:ascii="Calibri" w:eastAsiaTheme="minorEastAsia" w:hAnsi="Calibri" w:cs="Calibri"/>
                <w:color w:val="003C96" w:themeColor="text2"/>
                <w:sz w:val="16"/>
                <w:szCs w:val="16"/>
              </w:rPr>
            </w:pPr>
            <w:proofErr w:type="spellStart"/>
            <w:r w:rsidRPr="001D0734">
              <w:rPr>
                <w:rFonts w:ascii="Calibri" w:eastAsiaTheme="minorEastAsia" w:hAnsi="Calibri" w:cs="Calibri"/>
                <w:color w:val="003C96" w:themeColor="text2"/>
                <w:sz w:val="16"/>
                <w:szCs w:val="16"/>
              </w:rPr>
              <w:t>τριμηνιαίως</w:t>
            </w:r>
            <w:proofErr w:type="spellEnd"/>
          </w:p>
        </w:tc>
      </w:tr>
      <w:tr w:rsidR="005563F0" w:rsidRPr="005744FA" w14:paraId="7ECA206D" w14:textId="77777777" w:rsidTr="00BB6F70">
        <w:trPr>
          <w:trHeight w:val="142"/>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11A3BBE2" w14:textId="77777777" w:rsidR="005563F0" w:rsidRPr="005744FA" w:rsidRDefault="005563F0" w:rsidP="006E3E50">
            <w:pPr>
              <w:tabs>
                <w:tab w:val="left" w:pos="284"/>
              </w:tabs>
              <w:spacing w:after="0"/>
              <w:rPr>
                <w:rFonts w:eastAsiaTheme="minorEastAsia" w:cs="Calibri"/>
                <w:sz w:val="10"/>
                <w:szCs w:val="16"/>
              </w:rPr>
            </w:pPr>
          </w:p>
        </w:tc>
        <w:tc>
          <w:tcPr>
            <w:tcW w:w="465" w:type="pct"/>
            <w:tcBorders>
              <w:left w:val="single" w:sz="4" w:space="0" w:color="FFC000"/>
              <w:right w:val="single" w:sz="4" w:space="0" w:color="FFC000"/>
            </w:tcBorders>
            <w:shd w:val="clear" w:color="auto" w:fill="FFFFFF" w:themeFill="background1"/>
            <w:vAlign w:val="center"/>
          </w:tcPr>
          <w:p w14:paraId="516B854C" w14:textId="77777777" w:rsidR="005563F0" w:rsidRPr="005744FA" w:rsidRDefault="005563F0" w:rsidP="006E3E50">
            <w:pPr>
              <w:tabs>
                <w:tab w:val="left" w:pos="284"/>
              </w:tabs>
              <w:spacing w:after="0"/>
              <w:jc w:val="right"/>
              <w:rPr>
                <w:rFonts w:eastAsiaTheme="minorEastAsia" w:cs="Calibri"/>
                <w:sz w:val="10"/>
                <w:szCs w:val="16"/>
              </w:rPr>
            </w:pPr>
          </w:p>
        </w:tc>
        <w:tc>
          <w:tcPr>
            <w:tcW w:w="465" w:type="pct"/>
            <w:tcBorders>
              <w:left w:val="single" w:sz="4" w:space="0" w:color="FFC000"/>
              <w:right w:val="single" w:sz="2" w:space="0" w:color="FFC000"/>
            </w:tcBorders>
            <w:shd w:val="clear" w:color="auto" w:fill="FFFFFF" w:themeFill="background1"/>
            <w:vAlign w:val="center"/>
          </w:tcPr>
          <w:p w14:paraId="24E5974B" w14:textId="77777777" w:rsidR="005563F0" w:rsidRPr="005744FA" w:rsidRDefault="005563F0" w:rsidP="006E3E50">
            <w:pPr>
              <w:tabs>
                <w:tab w:val="left" w:pos="284"/>
              </w:tabs>
              <w:spacing w:after="0"/>
              <w:jc w:val="right"/>
              <w:rPr>
                <w:rFonts w:eastAsiaTheme="minorEastAsia" w:cs="Calibri"/>
                <w:sz w:val="10"/>
                <w:szCs w:val="16"/>
              </w:rPr>
            </w:pPr>
          </w:p>
        </w:tc>
        <w:tc>
          <w:tcPr>
            <w:tcW w:w="499" w:type="pct"/>
            <w:tcBorders>
              <w:left w:val="single" w:sz="2" w:space="0" w:color="FFC000"/>
              <w:right w:val="single" w:sz="4" w:space="0" w:color="FFC000"/>
            </w:tcBorders>
            <w:shd w:val="clear" w:color="auto" w:fill="FFFFFF" w:themeFill="background1"/>
            <w:vAlign w:val="center"/>
          </w:tcPr>
          <w:p w14:paraId="16E9D431" w14:textId="77777777" w:rsidR="005563F0" w:rsidRPr="005744FA" w:rsidRDefault="005563F0" w:rsidP="006E3E50">
            <w:pPr>
              <w:tabs>
                <w:tab w:val="left" w:pos="284"/>
              </w:tabs>
              <w:spacing w:after="0"/>
              <w:jc w:val="right"/>
              <w:rPr>
                <w:rFonts w:eastAsiaTheme="minorEastAsia" w:cs="Calibri"/>
                <w:sz w:val="10"/>
                <w:szCs w:val="16"/>
              </w:rPr>
            </w:pPr>
          </w:p>
        </w:tc>
        <w:tc>
          <w:tcPr>
            <w:tcW w:w="501" w:type="pct"/>
            <w:tcBorders>
              <w:left w:val="single" w:sz="18" w:space="0" w:color="FFC000"/>
              <w:right w:val="single" w:sz="4" w:space="0" w:color="FFC000"/>
            </w:tcBorders>
            <w:shd w:val="clear" w:color="auto" w:fill="FFFFFF" w:themeFill="background1"/>
            <w:vAlign w:val="center"/>
          </w:tcPr>
          <w:p w14:paraId="237E1B44" w14:textId="77777777" w:rsidR="005563F0" w:rsidRPr="005744FA" w:rsidRDefault="005563F0" w:rsidP="006E3E50">
            <w:pPr>
              <w:tabs>
                <w:tab w:val="left" w:pos="284"/>
              </w:tabs>
              <w:spacing w:after="0"/>
              <w:jc w:val="right"/>
              <w:rPr>
                <w:rFonts w:eastAsiaTheme="minorEastAsia" w:cs="Calibri"/>
                <w:sz w:val="10"/>
                <w:szCs w:val="16"/>
              </w:rPr>
            </w:pPr>
          </w:p>
        </w:tc>
        <w:tc>
          <w:tcPr>
            <w:tcW w:w="501" w:type="pct"/>
            <w:tcBorders>
              <w:left w:val="single" w:sz="4" w:space="0" w:color="FFC000"/>
              <w:right w:val="single" w:sz="4" w:space="0" w:color="FFC000"/>
            </w:tcBorders>
            <w:shd w:val="clear" w:color="auto" w:fill="FFFFFF" w:themeFill="background1"/>
          </w:tcPr>
          <w:p w14:paraId="37E8D3C6" w14:textId="77777777" w:rsidR="005563F0" w:rsidRPr="005744FA" w:rsidRDefault="005563F0" w:rsidP="006E3E50">
            <w:pPr>
              <w:tabs>
                <w:tab w:val="left" w:pos="284"/>
              </w:tabs>
              <w:spacing w:after="0"/>
              <w:jc w:val="right"/>
              <w:rPr>
                <w:rFonts w:eastAsiaTheme="minorEastAsia" w:cs="Calibri"/>
                <w:sz w:val="10"/>
                <w:szCs w:val="16"/>
              </w:rPr>
            </w:pPr>
          </w:p>
        </w:tc>
        <w:tc>
          <w:tcPr>
            <w:tcW w:w="572" w:type="pct"/>
            <w:tcBorders>
              <w:left w:val="single" w:sz="4" w:space="0" w:color="FFC000"/>
              <w:right w:val="single" w:sz="4" w:space="0" w:color="FFC000"/>
            </w:tcBorders>
            <w:shd w:val="clear" w:color="auto" w:fill="FFFFFF" w:themeFill="background1"/>
          </w:tcPr>
          <w:p w14:paraId="7A11251F" w14:textId="77777777" w:rsidR="005563F0" w:rsidRPr="005744FA" w:rsidRDefault="005563F0" w:rsidP="006E3E50">
            <w:pPr>
              <w:tabs>
                <w:tab w:val="left" w:pos="284"/>
              </w:tabs>
              <w:spacing w:after="0"/>
              <w:jc w:val="right"/>
              <w:rPr>
                <w:rFonts w:eastAsiaTheme="minorEastAsia" w:cs="Calibri"/>
                <w:sz w:val="10"/>
                <w:szCs w:val="16"/>
              </w:rPr>
            </w:pPr>
          </w:p>
        </w:tc>
      </w:tr>
      <w:tr w:rsidR="005563F0" w:rsidRPr="00BA3578" w14:paraId="2F651CD4"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2B4AF3B4" w14:textId="77777777" w:rsidR="005563F0" w:rsidRPr="005744FA" w:rsidRDefault="005563F0" w:rsidP="006E3E50">
            <w:pPr>
              <w:tabs>
                <w:tab w:val="left" w:pos="284"/>
              </w:tabs>
              <w:spacing w:after="0"/>
              <w:rPr>
                <w:rFonts w:eastAsiaTheme="minorEastAsia" w:cs="Calibri"/>
                <w:sz w:val="16"/>
                <w:szCs w:val="16"/>
                <w:lang w:val="en-GB"/>
              </w:rPr>
            </w:pPr>
            <w:r w:rsidRPr="007316DD">
              <w:rPr>
                <w:rFonts w:ascii="Calibri" w:eastAsiaTheme="minorEastAsia" w:hAnsi="Calibri" w:cs="Calibri"/>
                <w:sz w:val="16"/>
                <w:szCs w:val="16"/>
              </w:rPr>
              <w:t>Καθαρά Έσοδα Τόκων</w:t>
            </w:r>
          </w:p>
        </w:tc>
        <w:tc>
          <w:tcPr>
            <w:tcW w:w="465" w:type="pct"/>
            <w:tcBorders>
              <w:left w:val="single" w:sz="4" w:space="0" w:color="FFC000"/>
              <w:right w:val="single" w:sz="4" w:space="0" w:color="FFC000"/>
            </w:tcBorders>
            <w:shd w:val="clear" w:color="auto" w:fill="FFFFFF" w:themeFill="background1"/>
            <w:vAlign w:val="center"/>
          </w:tcPr>
          <w:p w14:paraId="75740ED6" w14:textId="7D5B0A31" w:rsidR="005563F0" w:rsidRPr="002D26E9" w:rsidRDefault="00366C06"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1.</w:t>
            </w:r>
            <w:r w:rsidR="005563F0">
              <w:rPr>
                <w:rFonts w:eastAsiaTheme="minorEastAsia" w:cs="Calibri"/>
                <w:color w:val="000000" w:themeColor="text1"/>
                <w:sz w:val="16"/>
                <w:szCs w:val="16"/>
                <w:lang w:val="en-US"/>
              </w:rPr>
              <w:t>486</w:t>
            </w:r>
          </w:p>
        </w:tc>
        <w:tc>
          <w:tcPr>
            <w:tcW w:w="465" w:type="pct"/>
            <w:tcBorders>
              <w:left w:val="single" w:sz="4" w:space="0" w:color="FFC000"/>
              <w:right w:val="single" w:sz="4" w:space="0" w:color="FFC000"/>
            </w:tcBorders>
            <w:shd w:val="clear" w:color="auto" w:fill="FFFFFF" w:themeFill="background1"/>
            <w:vAlign w:val="center"/>
          </w:tcPr>
          <w:p w14:paraId="006A2EC4" w14:textId="4AEEDC6A" w:rsidR="005563F0" w:rsidRPr="005744FA" w:rsidRDefault="00366C06"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1.</w:t>
            </w:r>
            <w:r w:rsidR="005563F0">
              <w:rPr>
                <w:rFonts w:eastAsiaTheme="minorEastAsia" w:cs="Calibri"/>
                <w:color w:val="000000" w:themeColor="text1"/>
                <w:sz w:val="16"/>
                <w:szCs w:val="16"/>
                <w:lang w:val="en-US"/>
              </w:rPr>
              <w:t>435</w:t>
            </w:r>
          </w:p>
        </w:tc>
        <w:tc>
          <w:tcPr>
            <w:tcW w:w="499" w:type="pct"/>
            <w:tcBorders>
              <w:left w:val="single" w:sz="2" w:space="0" w:color="FFC000"/>
              <w:right w:val="single" w:sz="4" w:space="0" w:color="FFC000"/>
            </w:tcBorders>
            <w:shd w:val="clear" w:color="auto" w:fill="FFFFFF" w:themeFill="background1"/>
            <w:vAlign w:val="center"/>
          </w:tcPr>
          <w:p w14:paraId="0490D4F9"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4%</w:t>
            </w:r>
          </w:p>
        </w:tc>
        <w:tc>
          <w:tcPr>
            <w:tcW w:w="501" w:type="pct"/>
            <w:tcBorders>
              <w:left w:val="single" w:sz="18" w:space="0" w:color="FFC000"/>
              <w:right w:val="single" w:sz="4" w:space="0" w:color="FFC000"/>
            </w:tcBorders>
            <w:shd w:val="clear" w:color="auto" w:fill="FFFFFF" w:themeFill="background1"/>
            <w:vAlign w:val="center"/>
          </w:tcPr>
          <w:p w14:paraId="4346F7AD"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378</w:t>
            </w:r>
          </w:p>
        </w:tc>
        <w:tc>
          <w:tcPr>
            <w:tcW w:w="501" w:type="pct"/>
            <w:tcBorders>
              <w:left w:val="single" w:sz="4" w:space="0" w:color="FFC000"/>
              <w:right w:val="single" w:sz="4" w:space="0" w:color="FFC000"/>
            </w:tcBorders>
            <w:shd w:val="clear" w:color="auto" w:fill="FFFFFF" w:themeFill="background1"/>
            <w:vAlign w:val="center"/>
          </w:tcPr>
          <w:p w14:paraId="1498750F"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380</w:t>
            </w:r>
          </w:p>
        </w:tc>
        <w:tc>
          <w:tcPr>
            <w:tcW w:w="572" w:type="pct"/>
            <w:tcBorders>
              <w:left w:val="single" w:sz="4" w:space="0" w:color="FFC000"/>
              <w:right w:val="single" w:sz="4" w:space="0" w:color="FFC000"/>
            </w:tcBorders>
            <w:shd w:val="clear" w:color="auto" w:fill="FFFFFF" w:themeFill="background1"/>
            <w:vAlign w:val="center"/>
          </w:tcPr>
          <w:p w14:paraId="37CF866F"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0%</w:t>
            </w:r>
          </w:p>
        </w:tc>
      </w:tr>
      <w:tr w:rsidR="005563F0" w:rsidRPr="00BA3578" w14:paraId="663FF0D3"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550FB5F3" w14:textId="77777777" w:rsidR="005563F0" w:rsidRPr="00BA3578"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 xml:space="preserve">Καθαρά Έσοδα Προμηθειών </w:t>
            </w:r>
          </w:p>
        </w:tc>
        <w:tc>
          <w:tcPr>
            <w:tcW w:w="465" w:type="pct"/>
            <w:tcBorders>
              <w:left w:val="single" w:sz="4" w:space="0" w:color="FFC000"/>
              <w:right w:val="single" w:sz="4" w:space="0" w:color="FFC000"/>
            </w:tcBorders>
            <w:shd w:val="clear" w:color="auto" w:fill="FFFFFF" w:themeFill="background1"/>
            <w:vAlign w:val="center"/>
          </w:tcPr>
          <w:p w14:paraId="56C40950" w14:textId="77777777" w:rsidR="005563F0" w:rsidRPr="00B815B3"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317</w:t>
            </w:r>
          </w:p>
        </w:tc>
        <w:tc>
          <w:tcPr>
            <w:tcW w:w="465" w:type="pct"/>
            <w:tcBorders>
              <w:left w:val="single" w:sz="4" w:space="0" w:color="FFC000"/>
              <w:right w:val="single" w:sz="4" w:space="0" w:color="FFC000"/>
            </w:tcBorders>
            <w:shd w:val="clear" w:color="auto" w:fill="FFFFFF" w:themeFill="background1"/>
            <w:vAlign w:val="center"/>
          </w:tcPr>
          <w:p w14:paraId="39A61A54" w14:textId="77777777" w:rsidR="005563F0" w:rsidRPr="005744FA"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318</w:t>
            </w:r>
          </w:p>
        </w:tc>
        <w:tc>
          <w:tcPr>
            <w:tcW w:w="499" w:type="pct"/>
            <w:tcBorders>
              <w:left w:val="single" w:sz="2" w:space="0" w:color="FFC000"/>
              <w:right w:val="single" w:sz="4" w:space="0" w:color="FFC000"/>
            </w:tcBorders>
            <w:shd w:val="clear" w:color="auto" w:fill="FFFFFF" w:themeFill="background1"/>
            <w:vAlign w:val="center"/>
          </w:tcPr>
          <w:p w14:paraId="344CE14F"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0%</w:t>
            </w:r>
          </w:p>
        </w:tc>
        <w:tc>
          <w:tcPr>
            <w:tcW w:w="501" w:type="pct"/>
            <w:tcBorders>
              <w:left w:val="single" w:sz="18" w:space="0" w:color="FFC000"/>
              <w:right w:val="single" w:sz="4" w:space="0" w:color="FFC000"/>
            </w:tcBorders>
            <w:shd w:val="clear" w:color="auto" w:fill="FFFFFF" w:themeFill="background1"/>
            <w:vAlign w:val="center"/>
          </w:tcPr>
          <w:p w14:paraId="046C508C"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85</w:t>
            </w:r>
          </w:p>
        </w:tc>
        <w:tc>
          <w:tcPr>
            <w:tcW w:w="501" w:type="pct"/>
            <w:tcBorders>
              <w:left w:val="single" w:sz="4" w:space="0" w:color="FFC000"/>
              <w:right w:val="single" w:sz="4" w:space="0" w:color="FFC000"/>
            </w:tcBorders>
            <w:shd w:val="clear" w:color="auto" w:fill="FFFFFF" w:themeFill="background1"/>
            <w:vAlign w:val="center"/>
          </w:tcPr>
          <w:p w14:paraId="4A5AAADA"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81</w:t>
            </w:r>
          </w:p>
        </w:tc>
        <w:tc>
          <w:tcPr>
            <w:tcW w:w="572" w:type="pct"/>
            <w:tcBorders>
              <w:left w:val="single" w:sz="4" w:space="0" w:color="FFC000"/>
              <w:right w:val="single" w:sz="4" w:space="0" w:color="FFC000"/>
            </w:tcBorders>
            <w:shd w:val="clear" w:color="auto" w:fill="FFFFFF" w:themeFill="background1"/>
            <w:vAlign w:val="center"/>
          </w:tcPr>
          <w:p w14:paraId="13595C8B"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6%</w:t>
            </w:r>
          </w:p>
        </w:tc>
      </w:tr>
      <w:tr w:rsidR="005563F0" w:rsidRPr="00BA3578" w14:paraId="2B709884"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3E06AE90" w14:textId="77777777" w:rsidR="005563F0" w:rsidRPr="00D837BC" w:rsidRDefault="005563F0" w:rsidP="006E3E50">
            <w:pPr>
              <w:tabs>
                <w:tab w:val="left" w:pos="284"/>
              </w:tabs>
              <w:spacing w:after="0"/>
              <w:rPr>
                <w:rFonts w:eastAsiaTheme="minorEastAsia" w:cs="Calibri"/>
                <w:sz w:val="16"/>
                <w:szCs w:val="16"/>
              </w:rPr>
            </w:pPr>
            <w:r w:rsidRPr="007316DD">
              <w:rPr>
                <w:rFonts w:ascii="Calibri" w:eastAsiaTheme="minorEastAsia" w:hAnsi="Calibri" w:cs="Calibri"/>
                <w:sz w:val="16"/>
                <w:szCs w:val="16"/>
              </w:rPr>
              <w:t xml:space="preserve">Αποτελέσματα Εμπορ. &amp; </w:t>
            </w:r>
            <w:proofErr w:type="spellStart"/>
            <w:r w:rsidRPr="007316DD">
              <w:rPr>
                <w:rFonts w:ascii="Calibri" w:eastAsiaTheme="minorEastAsia" w:hAnsi="Calibri" w:cs="Calibri"/>
                <w:sz w:val="16"/>
                <w:szCs w:val="16"/>
              </w:rPr>
              <w:t>Επενδ</w:t>
            </w:r>
            <w:proofErr w:type="spellEnd"/>
            <w:r w:rsidRPr="007316DD">
              <w:rPr>
                <w:rFonts w:ascii="Calibri" w:eastAsiaTheme="minorEastAsia" w:hAnsi="Calibri" w:cs="Calibri"/>
                <w:sz w:val="16"/>
                <w:szCs w:val="16"/>
              </w:rPr>
              <w:t>. Χαρ/</w:t>
            </w:r>
            <w:proofErr w:type="spellStart"/>
            <w:r w:rsidRPr="007316DD">
              <w:rPr>
                <w:rFonts w:ascii="Calibri" w:eastAsiaTheme="minorEastAsia" w:hAnsi="Calibri" w:cs="Calibri"/>
                <w:sz w:val="16"/>
                <w:szCs w:val="16"/>
              </w:rPr>
              <w:t>κίου</w:t>
            </w:r>
            <w:proofErr w:type="spellEnd"/>
          </w:p>
        </w:tc>
        <w:tc>
          <w:tcPr>
            <w:tcW w:w="465" w:type="pct"/>
            <w:tcBorders>
              <w:left w:val="single" w:sz="4" w:space="0" w:color="FFC000"/>
              <w:right w:val="single" w:sz="4" w:space="0" w:color="FFC000"/>
            </w:tcBorders>
            <w:shd w:val="clear" w:color="auto" w:fill="FFFFFF" w:themeFill="background1"/>
            <w:vAlign w:val="center"/>
          </w:tcPr>
          <w:p w14:paraId="216390F9" w14:textId="77777777" w:rsidR="005563F0" w:rsidRPr="00B815B3"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44</w:t>
            </w:r>
          </w:p>
        </w:tc>
        <w:tc>
          <w:tcPr>
            <w:tcW w:w="465" w:type="pct"/>
            <w:tcBorders>
              <w:left w:val="single" w:sz="4" w:space="0" w:color="FFC000"/>
              <w:right w:val="single" w:sz="4" w:space="0" w:color="FFC000"/>
            </w:tcBorders>
            <w:shd w:val="clear" w:color="auto" w:fill="FFFFFF" w:themeFill="background1"/>
            <w:vAlign w:val="center"/>
          </w:tcPr>
          <w:p w14:paraId="03BD5EF4" w14:textId="77777777" w:rsidR="005563F0" w:rsidRPr="005744FA"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371</w:t>
            </w:r>
          </w:p>
        </w:tc>
        <w:tc>
          <w:tcPr>
            <w:tcW w:w="499" w:type="pct"/>
            <w:tcBorders>
              <w:left w:val="single" w:sz="2" w:space="0" w:color="FFC000"/>
              <w:right w:val="single" w:sz="4" w:space="0" w:color="FFC000"/>
            </w:tcBorders>
            <w:shd w:val="clear" w:color="auto" w:fill="FFFFFF" w:themeFill="background1"/>
            <w:vAlign w:val="center"/>
          </w:tcPr>
          <w:p w14:paraId="12F0567D"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-88%</w:t>
            </w:r>
          </w:p>
        </w:tc>
        <w:tc>
          <w:tcPr>
            <w:tcW w:w="501" w:type="pct"/>
            <w:tcBorders>
              <w:left w:val="single" w:sz="18" w:space="0" w:color="FFC000"/>
              <w:right w:val="single" w:sz="4" w:space="0" w:color="FFC000"/>
            </w:tcBorders>
            <w:shd w:val="clear" w:color="auto" w:fill="FFFFFF" w:themeFill="background1"/>
            <w:vAlign w:val="center"/>
          </w:tcPr>
          <w:p w14:paraId="2932B475"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12</w:t>
            </w:r>
          </w:p>
        </w:tc>
        <w:tc>
          <w:tcPr>
            <w:tcW w:w="501" w:type="pct"/>
            <w:tcBorders>
              <w:left w:val="single" w:sz="4" w:space="0" w:color="FFC000"/>
              <w:right w:val="single" w:sz="4" w:space="0" w:color="FFC000"/>
            </w:tcBorders>
            <w:shd w:val="clear" w:color="auto" w:fill="FFFFFF" w:themeFill="background1"/>
            <w:vAlign w:val="center"/>
          </w:tcPr>
          <w:p w14:paraId="1941A514"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14</w:t>
            </w:r>
          </w:p>
        </w:tc>
        <w:tc>
          <w:tcPr>
            <w:tcW w:w="572" w:type="pct"/>
            <w:tcBorders>
              <w:left w:val="single" w:sz="4" w:space="0" w:color="FFC000"/>
              <w:right w:val="single" w:sz="4" w:space="0" w:color="FFC000"/>
            </w:tcBorders>
            <w:shd w:val="clear" w:color="auto" w:fill="FFFFFF" w:themeFill="background1"/>
            <w:vAlign w:val="center"/>
          </w:tcPr>
          <w:p w14:paraId="0666A911"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-18%</w:t>
            </w:r>
          </w:p>
        </w:tc>
      </w:tr>
      <w:tr w:rsidR="005563F0" w:rsidRPr="005744FA" w14:paraId="64567CF1" w14:textId="77777777" w:rsidTr="00BB6F70">
        <w:trPr>
          <w:trHeight w:val="280"/>
        </w:trPr>
        <w:tc>
          <w:tcPr>
            <w:tcW w:w="1998" w:type="pct"/>
            <w:tcBorders>
              <w:left w:val="single" w:sz="4" w:space="0" w:color="FFC000"/>
              <w:right w:val="single" w:sz="4" w:space="0" w:color="FFC000"/>
            </w:tcBorders>
            <w:shd w:val="clear" w:color="auto" w:fill="auto"/>
            <w:tcMar>
              <w:right w:w="113" w:type="dxa"/>
            </w:tcMar>
            <w:vAlign w:val="center"/>
          </w:tcPr>
          <w:p w14:paraId="1997C14B" w14:textId="77777777" w:rsidR="005563F0" w:rsidRPr="005744FA" w:rsidRDefault="005563F0" w:rsidP="006E3E50">
            <w:pPr>
              <w:tabs>
                <w:tab w:val="left" w:pos="284"/>
              </w:tabs>
              <w:spacing w:after="0"/>
              <w:rPr>
                <w:rFonts w:eastAsiaTheme="minorEastAsia" w:cs="Calibri"/>
                <w:sz w:val="16"/>
                <w:szCs w:val="16"/>
                <w:lang w:val="en-GB"/>
              </w:rPr>
            </w:pPr>
            <w:r w:rsidRPr="007316DD">
              <w:rPr>
                <w:rFonts w:ascii="Calibri" w:eastAsiaTheme="minorEastAsia" w:hAnsi="Calibri" w:cs="Calibri"/>
                <w:sz w:val="16"/>
                <w:szCs w:val="16"/>
              </w:rPr>
              <w:t>Λοιπά Λειτουργικά Έσοδα &amp; Μερίσματα</w:t>
            </w:r>
          </w:p>
        </w:tc>
        <w:tc>
          <w:tcPr>
            <w:tcW w:w="465" w:type="pct"/>
            <w:tcBorders>
              <w:left w:val="single" w:sz="4" w:space="0" w:color="FFC000"/>
              <w:right w:val="single" w:sz="4" w:space="0" w:color="FFC000"/>
            </w:tcBorders>
            <w:shd w:val="clear" w:color="auto" w:fill="auto"/>
            <w:vAlign w:val="center"/>
          </w:tcPr>
          <w:p w14:paraId="6DDF1CB4" w14:textId="77777777" w:rsidR="005563F0" w:rsidRPr="002D26E9"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46</w:t>
            </w:r>
          </w:p>
        </w:tc>
        <w:tc>
          <w:tcPr>
            <w:tcW w:w="465" w:type="pct"/>
            <w:tcBorders>
              <w:left w:val="single" w:sz="4" w:space="0" w:color="FFC000"/>
              <w:right w:val="single" w:sz="4" w:space="0" w:color="FFC000"/>
            </w:tcBorders>
            <w:shd w:val="clear" w:color="auto" w:fill="auto"/>
            <w:vAlign w:val="center"/>
          </w:tcPr>
          <w:p w14:paraId="235D2A04" w14:textId="77777777" w:rsidR="005563F0" w:rsidRPr="005744FA"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50</w:t>
            </w:r>
          </w:p>
        </w:tc>
        <w:tc>
          <w:tcPr>
            <w:tcW w:w="499" w:type="pct"/>
            <w:tcBorders>
              <w:left w:val="single" w:sz="2" w:space="0" w:color="FFC000"/>
              <w:right w:val="single" w:sz="4" w:space="0" w:color="FFC000"/>
            </w:tcBorders>
            <w:shd w:val="clear" w:color="auto" w:fill="auto"/>
            <w:vAlign w:val="center"/>
          </w:tcPr>
          <w:p w14:paraId="4821A269"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-8%</w:t>
            </w:r>
          </w:p>
        </w:tc>
        <w:tc>
          <w:tcPr>
            <w:tcW w:w="501" w:type="pct"/>
            <w:tcBorders>
              <w:left w:val="single" w:sz="18" w:space="0" w:color="FFC000"/>
              <w:right w:val="single" w:sz="4" w:space="0" w:color="FFC000"/>
            </w:tcBorders>
            <w:shd w:val="clear" w:color="auto" w:fill="auto"/>
            <w:vAlign w:val="center"/>
          </w:tcPr>
          <w:p w14:paraId="4D607082"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color w:val="000000" w:themeColor="text1"/>
                <w:sz w:val="16"/>
                <w:szCs w:val="16"/>
                <w:lang w:val="en-US"/>
              </w:rPr>
              <w:t>0</w:t>
            </w:r>
          </w:p>
        </w:tc>
        <w:tc>
          <w:tcPr>
            <w:tcW w:w="501" w:type="pct"/>
            <w:tcBorders>
              <w:left w:val="single" w:sz="4" w:space="0" w:color="FFC000"/>
              <w:right w:val="single" w:sz="4" w:space="0" w:color="FFC000"/>
            </w:tcBorders>
            <w:shd w:val="clear" w:color="auto" w:fill="auto"/>
            <w:vAlign w:val="center"/>
          </w:tcPr>
          <w:p w14:paraId="07C90751"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21</w:t>
            </w:r>
          </w:p>
        </w:tc>
        <w:tc>
          <w:tcPr>
            <w:tcW w:w="572" w:type="pct"/>
            <w:tcBorders>
              <w:left w:val="single" w:sz="4" w:space="0" w:color="FFC000"/>
              <w:right w:val="single" w:sz="4" w:space="0" w:color="FFC000"/>
            </w:tcBorders>
            <w:vAlign w:val="center"/>
          </w:tcPr>
          <w:p w14:paraId="462A6AF8"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-100%</w:t>
            </w:r>
          </w:p>
        </w:tc>
      </w:tr>
      <w:tr w:rsidR="005563F0" w:rsidRPr="005744FA" w14:paraId="224E4033" w14:textId="77777777" w:rsidTr="00BB6F70">
        <w:trPr>
          <w:trHeight w:val="63"/>
        </w:trPr>
        <w:tc>
          <w:tcPr>
            <w:tcW w:w="1998" w:type="pct"/>
            <w:tcBorders>
              <w:left w:val="single" w:sz="4" w:space="0" w:color="FFC000"/>
              <w:right w:val="single" w:sz="4" w:space="0" w:color="FFC000"/>
            </w:tcBorders>
            <w:shd w:val="clear" w:color="auto" w:fill="auto"/>
            <w:tcMar>
              <w:right w:w="113" w:type="dxa"/>
            </w:tcMar>
            <w:vAlign w:val="center"/>
          </w:tcPr>
          <w:p w14:paraId="65040303" w14:textId="77777777" w:rsidR="005563F0" w:rsidRPr="005744FA" w:rsidRDefault="005563F0" w:rsidP="006E3E50">
            <w:pPr>
              <w:tabs>
                <w:tab w:val="left" w:pos="284"/>
              </w:tabs>
              <w:spacing w:after="0"/>
              <w:rPr>
                <w:rFonts w:eastAsiaTheme="minorEastAsia" w:cs="Calibri"/>
                <w:color w:val="003C96" w:themeColor="text2"/>
                <w:sz w:val="4"/>
                <w:szCs w:val="4"/>
                <w:lang w:val="en-US"/>
              </w:rPr>
            </w:pPr>
          </w:p>
        </w:tc>
        <w:tc>
          <w:tcPr>
            <w:tcW w:w="465" w:type="pct"/>
            <w:tcBorders>
              <w:left w:val="single" w:sz="4" w:space="0" w:color="FFC000"/>
              <w:right w:val="single" w:sz="4" w:space="0" w:color="FFC000"/>
            </w:tcBorders>
            <w:shd w:val="clear" w:color="auto" w:fill="auto"/>
            <w:vAlign w:val="center"/>
          </w:tcPr>
          <w:p w14:paraId="65F485A5" w14:textId="77777777" w:rsidR="005563F0" w:rsidRPr="005744FA" w:rsidRDefault="005563F0" w:rsidP="006E3E50">
            <w:pPr>
              <w:tabs>
                <w:tab w:val="left" w:pos="284"/>
              </w:tabs>
              <w:spacing w:after="0"/>
              <w:jc w:val="right"/>
              <w:rPr>
                <w:rFonts w:eastAsiaTheme="minorEastAsia" w:cs="Calibri"/>
                <w:color w:val="003C96" w:themeColor="text2"/>
                <w:sz w:val="4"/>
                <w:szCs w:val="4"/>
                <w:lang w:val="en-US"/>
              </w:rPr>
            </w:pPr>
          </w:p>
        </w:tc>
        <w:tc>
          <w:tcPr>
            <w:tcW w:w="465" w:type="pct"/>
            <w:tcBorders>
              <w:left w:val="single" w:sz="4" w:space="0" w:color="FFC000"/>
              <w:right w:val="single" w:sz="4" w:space="0" w:color="FFC000"/>
            </w:tcBorders>
            <w:shd w:val="clear" w:color="auto" w:fill="auto"/>
            <w:vAlign w:val="center"/>
          </w:tcPr>
          <w:p w14:paraId="70B7F8EF" w14:textId="77777777" w:rsidR="005563F0" w:rsidRPr="005744FA" w:rsidRDefault="005563F0" w:rsidP="006E3E50">
            <w:pPr>
              <w:tabs>
                <w:tab w:val="left" w:pos="284"/>
              </w:tabs>
              <w:spacing w:after="0"/>
              <w:jc w:val="right"/>
              <w:rPr>
                <w:rFonts w:eastAsiaTheme="minorEastAsia" w:cs="Calibri"/>
                <w:color w:val="003C96" w:themeColor="text2"/>
                <w:sz w:val="4"/>
                <w:szCs w:val="4"/>
                <w:lang w:val="en-US"/>
              </w:rPr>
            </w:pPr>
          </w:p>
        </w:tc>
        <w:tc>
          <w:tcPr>
            <w:tcW w:w="499" w:type="pct"/>
            <w:tcBorders>
              <w:left w:val="single" w:sz="2" w:space="0" w:color="FFC000"/>
              <w:right w:val="single" w:sz="4" w:space="0" w:color="FFC000"/>
            </w:tcBorders>
            <w:shd w:val="clear" w:color="auto" w:fill="auto"/>
            <w:vAlign w:val="center"/>
          </w:tcPr>
          <w:p w14:paraId="5CD5DB8A" w14:textId="77777777" w:rsidR="005563F0" w:rsidRPr="00744269" w:rsidRDefault="005563F0" w:rsidP="006E3E50">
            <w:pPr>
              <w:tabs>
                <w:tab w:val="left" w:pos="284"/>
              </w:tabs>
              <w:spacing w:after="0"/>
              <w:jc w:val="right"/>
              <w:rPr>
                <w:rFonts w:eastAsiaTheme="minorEastAsia" w:cs="Calibri"/>
                <w:color w:val="003C96" w:themeColor="text2"/>
                <w:sz w:val="4"/>
                <w:szCs w:val="4"/>
                <w:lang w:val="en-US"/>
              </w:rPr>
            </w:pPr>
          </w:p>
        </w:tc>
        <w:tc>
          <w:tcPr>
            <w:tcW w:w="501" w:type="pct"/>
            <w:tcBorders>
              <w:left w:val="single" w:sz="18" w:space="0" w:color="FFC000"/>
              <w:right w:val="single" w:sz="4" w:space="0" w:color="FFC000"/>
            </w:tcBorders>
            <w:shd w:val="clear" w:color="auto" w:fill="auto"/>
            <w:vAlign w:val="center"/>
          </w:tcPr>
          <w:p w14:paraId="13541A92" w14:textId="77777777" w:rsidR="005563F0" w:rsidRPr="005744FA" w:rsidRDefault="005563F0" w:rsidP="006E3E50">
            <w:pPr>
              <w:tabs>
                <w:tab w:val="left" w:pos="284"/>
              </w:tabs>
              <w:spacing w:after="0"/>
              <w:jc w:val="right"/>
              <w:rPr>
                <w:rFonts w:eastAsiaTheme="minorEastAsia" w:cs="Calibri"/>
                <w:color w:val="003C96" w:themeColor="text2"/>
                <w:sz w:val="4"/>
                <w:szCs w:val="4"/>
                <w:lang w:val="en-US"/>
              </w:rPr>
            </w:pPr>
          </w:p>
        </w:tc>
        <w:tc>
          <w:tcPr>
            <w:tcW w:w="501" w:type="pct"/>
            <w:tcBorders>
              <w:left w:val="single" w:sz="4" w:space="0" w:color="FFC000"/>
              <w:right w:val="single" w:sz="4" w:space="0" w:color="FFC000"/>
            </w:tcBorders>
          </w:tcPr>
          <w:p w14:paraId="1C8C19EC" w14:textId="77777777" w:rsidR="005563F0" w:rsidRPr="00744269" w:rsidRDefault="005563F0" w:rsidP="006E3E50">
            <w:pPr>
              <w:tabs>
                <w:tab w:val="left" w:pos="284"/>
              </w:tabs>
              <w:spacing w:after="0"/>
              <w:jc w:val="right"/>
              <w:rPr>
                <w:rFonts w:eastAsiaTheme="minorEastAsia" w:cs="Calibri"/>
                <w:color w:val="003C96" w:themeColor="text2"/>
                <w:sz w:val="4"/>
                <w:szCs w:val="4"/>
                <w:lang w:val="en-US"/>
              </w:rPr>
            </w:pPr>
          </w:p>
        </w:tc>
        <w:tc>
          <w:tcPr>
            <w:tcW w:w="572" w:type="pct"/>
            <w:tcBorders>
              <w:left w:val="single" w:sz="4" w:space="0" w:color="FFC000"/>
              <w:right w:val="single" w:sz="4" w:space="0" w:color="FFC000"/>
            </w:tcBorders>
          </w:tcPr>
          <w:p w14:paraId="45CB4621" w14:textId="77777777" w:rsidR="005563F0" w:rsidRPr="00744269" w:rsidRDefault="005563F0" w:rsidP="006E3E50">
            <w:pPr>
              <w:tabs>
                <w:tab w:val="left" w:pos="284"/>
              </w:tabs>
              <w:spacing w:after="0"/>
              <w:jc w:val="right"/>
              <w:rPr>
                <w:rFonts w:eastAsiaTheme="minorEastAsia" w:cs="Calibri"/>
                <w:color w:val="003C96" w:themeColor="text2"/>
                <w:sz w:val="4"/>
                <w:szCs w:val="4"/>
                <w:lang w:val="en-US"/>
              </w:rPr>
            </w:pPr>
          </w:p>
        </w:tc>
      </w:tr>
      <w:tr w:rsidR="005563F0" w:rsidRPr="005744FA" w14:paraId="663526EF" w14:textId="77777777" w:rsidTr="00BB6F70">
        <w:trPr>
          <w:trHeight w:val="63"/>
        </w:trPr>
        <w:tc>
          <w:tcPr>
            <w:tcW w:w="1998" w:type="pct"/>
            <w:tcBorders>
              <w:left w:val="single" w:sz="4" w:space="0" w:color="FFC000"/>
              <w:right w:val="single" w:sz="4" w:space="0" w:color="FFC000"/>
            </w:tcBorders>
            <w:shd w:val="clear" w:color="auto" w:fill="auto"/>
            <w:tcMar>
              <w:right w:w="113" w:type="dxa"/>
            </w:tcMar>
            <w:vAlign w:val="center"/>
          </w:tcPr>
          <w:p w14:paraId="2F01A0B2" w14:textId="77777777" w:rsidR="005563F0" w:rsidRPr="005744FA" w:rsidRDefault="005563F0" w:rsidP="006E3E50">
            <w:pPr>
              <w:tabs>
                <w:tab w:val="left" w:pos="284"/>
              </w:tabs>
              <w:spacing w:after="0"/>
              <w:rPr>
                <w:rFonts w:ascii="Calibri" w:eastAsiaTheme="minorEastAsia" w:hAnsi="Calibri" w:cs="Calibri"/>
                <w:sz w:val="4"/>
                <w:szCs w:val="4"/>
                <w:lang w:val="en-US"/>
              </w:rPr>
            </w:pPr>
          </w:p>
        </w:tc>
        <w:tc>
          <w:tcPr>
            <w:tcW w:w="465" w:type="pct"/>
            <w:tcBorders>
              <w:left w:val="single" w:sz="4" w:space="0" w:color="FFC000"/>
              <w:right w:val="single" w:sz="4" w:space="0" w:color="FFC000"/>
            </w:tcBorders>
            <w:shd w:val="clear" w:color="auto" w:fill="auto"/>
            <w:vAlign w:val="center"/>
          </w:tcPr>
          <w:p w14:paraId="6C7EA108" w14:textId="77777777" w:rsidR="005563F0" w:rsidRPr="005744FA" w:rsidRDefault="005563F0" w:rsidP="006E3E50">
            <w:pPr>
              <w:tabs>
                <w:tab w:val="left" w:pos="284"/>
              </w:tabs>
              <w:spacing w:after="0"/>
              <w:jc w:val="right"/>
              <w:rPr>
                <w:rFonts w:eastAsiaTheme="minorEastAsia" w:cs="Calibri"/>
                <w:sz w:val="4"/>
                <w:szCs w:val="4"/>
                <w:lang w:val="en-US"/>
              </w:rPr>
            </w:pPr>
          </w:p>
        </w:tc>
        <w:tc>
          <w:tcPr>
            <w:tcW w:w="465" w:type="pct"/>
            <w:tcBorders>
              <w:left w:val="single" w:sz="4" w:space="0" w:color="FFC000"/>
              <w:right w:val="single" w:sz="4" w:space="0" w:color="FFC000"/>
            </w:tcBorders>
            <w:shd w:val="clear" w:color="auto" w:fill="auto"/>
            <w:vAlign w:val="center"/>
          </w:tcPr>
          <w:p w14:paraId="50F49DFA" w14:textId="77777777" w:rsidR="005563F0" w:rsidRPr="005744FA" w:rsidRDefault="005563F0" w:rsidP="006E3E50">
            <w:pPr>
              <w:tabs>
                <w:tab w:val="left" w:pos="284"/>
              </w:tabs>
              <w:spacing w:after="0"/>
              <w:jc w:val="right"/>
              <w:rPr>
                <w:rFonts w:eastAsiaTheme="minorEastAsia" w:cs="Calibri"/>
                <w:color w:val="000000" w:themeColor="text1"/>
                <w:sz w:val="4"/>
                <w:szCs w:val="4"/>
                <w:lang w:val="en-US"/>
              </w:rPr>
            </w:pPr>
          </w:p>
        </w:tc>
        <w:tc>
          <w:tcPr>
            <w:tcW w:w="499" w:type="pct"/>
            <w:tcBorders>
              <w:left w:val="single" w:sz="2" w:space="0" w:color="FFC000"/>
              <w:right w:val="single" w:sz="4" w:space="0" w:color="FFC000"/>
            </w:tcBorders>
            <w:shd w:val="clear" w:color="auto" w:fill="auto"/>
            <w:vAlign w:val="center"/>
          </w:tcPr>
          <w:p w14:paraId="535D5337" w14:textId="77777777" w:rsidR="005563F0" w:rsidRPr="00744269" w:rsidRDefault="005563F0" w:rsidP="006E3E50">
            <w:pPr>
              <w:tabs>
                <w:tab w:val="left" w:pos="284"/>
              </w:tabs>
              <w:spacing w:after="0"/>
              <w:jc w:val="right"/>
              <w:rPr>
                <w:rFonts w:eastAsiaTheme="minorEastAsia" w:cs="Calibri"/>
                <w:sz w:val="4"/>
                <w:szCs w:val="4"/>
                <w:lang w:val="en-US"/>
              </w:rPr>
            </w:pPr>
          </w:p>
        </w:tc>
        <w:tc>
          <w:tcPr>
            <w:tcW w:w="501" w:type="pct"/>
            <w:tcBorders>
              <w:left w:val="single" w:sz="18" w:space="0" w:color="FFC000"/>
              <w:right w:val="single" w:sz="4" w:space="0" w:color="FFC000"/>
            </w:tcBorders>
            <w:shd w:val="clear" w:color="auto" w:fill="auto"/>
            <w:vAlign w:val="center"/>
          </w:tcPr>
          <w:p w14:paraId="3E4E4530" w14:textId="77777777" w:rsidR="005563F0" w:rsidRPr="005744FA" w:rsidRDefault="005563F0" w:rsidP="006E3E50">
            <w:pPr>
              <w:tabs>
                <w:tab w:val="left" w:pos="284"/>
              </w:tabs>
              <w:spacing w:after="0"/>
              <w:jc w:val="right"/>
              <w:rPr>
                <w:rFonts w:eastAsiaTheme="minorEastAsia" w:cs="Calibri"/>
                <w:sz w:val="4"/>
                <w:szCs w:val="4"/>
                <w:lang w:val="en-US"/>
              </w:rPr>
            </w:pPr>
          </w:p>
        </w:tc>
        <w:tc>
          <w:tcPr>
            <w:tcW w:w="501" w:type="pct"/>
            <w:tcBorders>
              <w:left w:val="single" w:sz="4" w:space="0" w:color="FFC000"/>
              <w:right w:val="single" w:sz="4" w:space="0" w:color="FFC000"/>
            </w:tcBorders>
          </w:tcPr>
          <w:p w14:paraId="5BC124F8" w14:textId="77777777" w:rsidR="005563F0" w:rsidRPr="00744269" w:rsidRDefault="005563F0" w:rsidP="006E3E50">
            <w:pPr>
              <w:tabs>
                <w:tab w:val="left" w:pos="284"/>
              </w:tabs>
              <w:spacing w:after="0"/>
              <w:jc w:val="right"/>
              <w:rPr>
                <w:rFonts w:eastAsiaTheme="minorEastAsia" w:cs="Calibri"/>
                <w:sz w:val="4"/>
                <w:szCs w:val="4"/>
                <w:lang w:val="en-US"/>
              </w:rPr>
            </w:pPr>
          </w:p>
        </w:tc>
        <w:tc>
          <w:tcPr>
            <w:tcW w:w="572" w:type="pct"/>
            <w:tcBorders>
              <w:left w:val="single" w:sz="4" w:space="0" w:color="FFC000"/>
              <w:right w:val="single" w:sz="4" w:space="0" w:color="FFC000"/>
            </w:tcBorders>
          </w:tcPr>
          <w:p w14:paraId="1BB41277" w14:textId="77777777" w:rsidR="005563F0" w:rsidRPr="00744269" w:rsidRDefault="005563F0" w:rsidP="006E3E50">
            <w:pPr>
              <w:tabs>
                <w:tab w:val="left" w:pos="284"/>
              </w:tabs>
              <w:spacing w:after="0"/>
              <w:jc w:val="right"/>
              <w:rPr>
                <w:rFonts w:eastAsiaTheme="minorEastAsia" w:cs="Calibri"/>
                <w:sz w:val="4"/>
                <w:szCs w:val="4"/>
                <w:lang w:val="en-US"/>
              </w:rPr>
            </w:pPr>
          </w:p>
        </w:tc>
      </w:tr>
      <w:tr w:rsidR="005563F0" w:rsidRPr="005744FA" w14:paraId="1B1E7D8B" w14:textId="77777777" w:rsidTr="00BB6F70">
        <w:trPr>
          <w:trHeight w:val="252"/>
        </w:trPr>
        <w:tc>
          <w:tcPr>
            <w:tcW w:w="1998" w:type="pct"/>
            <w:tcBorders>
              <w:left w:val="single" w:sz="4" w:space="0" w:color="FFC000"/>
              <w:right w:val="single" w:sz="4" w:space="0" w:color="FFC000"/>
            </w:tcBorders>
            <w:shd w:val="clear" w:color="auto" w:fill="auto"/>
            <w:tcMar>
              <w:right w:w="113" w:type="dxa"/>
            </w:tcMar>
            <w:vAlign w:val="center"/>
          </w:tcPr>
          <w:p w14:paraId="20239883"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Σύνολο Λειτουργικών Εσόδων</w:t>
            </w:r>
          </w:p>
        </w:tc>
        <w:tc>
          <w:tcPr>
            <w:tcW w:w="465" w:type="pct"/>
            <w:tcBorders>
              <w:left w:val="single" w:sz="4" w:space="0" w:color="FFC000"/>
              <w:right w:val="single" w:sz="4" w:space="0" w:color="FFC000"/>
            </w:tcBorders>
            <w:shd w:val="clear" w:color="auto" w:fill="auto"/>
          </w:tcPr>
          <w:p w14:paraId="109E8C78" w14:textId="09C7437B" w:rsidR="005563F0" w:rsidRPr="00CB7934" w:rsidRDefault="005563F0" w:rsidP="00366C06">
            <w:pPr>
              <w:tabs>
                <w:tab w:val="left" w:pos="284"/>
              </w:tabs>
              <w:spacing w:after="0"/>
              <w:jc w:val="right"/>
              <w:rPr>
                <w:rFonts w:eastAsiaTheme="minorEastAsia" w:cs="Calibri"/>
                <w:sz w:val="16"/>
                <w:szCs w:val="16"/>
                <w:lang w:val="en-US"/>
              </w:rPr>
            </w:pPr>
            <w:r>
              <w:rPr>
                <w:rFonts w:eastAsiaTheme="minorEastAsia" w:cs="Calibri"/>
                <w:sz w:val="16"/>
                <w:szCs w:val="16"/>
                <w:lang w:val="en-US"/>
              </w:rPr>
              <w:t>1</w:t>
            </w:r>
            <w:r w:rsidR="00366C06">
              <w:rPr>
                <w:rFonts w:eastAsiaTheme="minorEastAsia" w:cs="Calibri"/>
                <w:sz w:val="16"/>
                <w:szCs w:val="16"/>
                <w:lang w:val="en-US"/>
              </w:rPr>
              <w:t>.</w:t>
            </w:r>
            <w:r>
              <w:rPr>
                <w:rFonts w:eastAsiaTheme="minorEastAsia" w:cs="Calibri"/>
                <w:sz w:val="16"/>
                <w:szCs w:val="16"/>
                <w:lang w:val="en-US"/>
              </w:rPr>
              <w:t>893</w:t>
            </w:r>
          </w:p>
        </w:tc>
        <w:tc>
          <w:tcPr>
            <w:tcW w:w="465" w:type="pct"/>
            <w:tcBorders>
              <w:left w:val="single" w:sz="4" w:space="0" w:color="FFC000"/>
              <w:right w:val="single" w:sz="4" w:space="0" w:color="FFC000"/>
            </w:tcBorders>
            <w:shd w:val="clear" w:color="auto" w:fill="auto"/>
          </w:tcPr>
          <w:p w14:paraId="2D7F97E2" w14:textId="0FD04F14" w:rsidR="005563F0" w:rsidRPr="00DF379A" w:rsidRDefault="005563F0" w:rsidP="00366C06">
            <w:pPr>
              <w:tabs>
                <w:tab w:val="left" w:pos="284"/>
              </w:tabs>
              <w:spacing w:after="0"/>
              <w:jc w:val="right"/>
              <w:rPr>
                <w:rFonts w:eastAsiaTheme="minorEastAsia" w:cs="Calibri"/>
                <w:color w:val="000000" w:themeColor="text1"/>
                <w:sz w:val="16"/>
                <w:szCs w:val="16"/>
                <w:lang w:val="en-US"/>
              </w:rPr>
            </w:pPr>
            <w:r>
              <w:rPr>
                <w:rFonts w:eastAsiaTheme="minorEastAsia" w:cs="Calibri"/>
                <w:color w:val="000000" w:themeColor="text1"/>
                <w:sz w:val="16"/>
                <w:szCs w:val="16"/>
                <w:lang w:val="en-US"/>
              </w:rPr>
              <w:t>2</w:t>
            </w:r>
            <w:r w:rsidR="00366C06">
              <w:rPr>
                <w:rFonts w:eastAsiaTheme="minorEastAsia" w:cs="Calibri"/>
                <w:color w:val="000000" w:themeColor="text1"/>
                <w:sz w:val="16"/>
                <w:szCs w:val="16"/>
                <w:lang w:val="en-US"/>
              </w:rPr>
              <w:t>.</w:t>
            </w:r>
            <w:r>
              <w:rPr>
                <w:rFonts w:eastAsiaTheme="minorEastAsia" w:cs="Calibri"/>
                <w:color w:val="000000" w:themeColor="text1"/>
                <w:sz w:val="16"/>
                <w:szCs w:val="16"/>
                <w:lang w:val="en-US"/>
              </w:rPr>
              <w:t>174</w:t>
            </w:r>
          </w:p>
        </w:tc>
        <w:tc>
          <w:tcPr>
            <w:tcW w:w="499" w:type="pct"/>
            <w:tcBorders>
              <w:left w:val="single" w:sz="2" w:space="0" w:color="FFC000"/>
              <w:right w:val="single" w:sz="4" w:space="0" w:color="FFC000"/>
            </w:tcBorders>
            <w:shd w:val="clear" w:color="auto" w:fill="auto"/>
          </w:tcPr>
          <w:p w14:paraId="12F28D19"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-13%</w:t>
            </w:r>
          </w:p>
        </w:tc>
        <w:tc>
          <w:tcPr>
            <w:tcW w:w="501" w:type="pct"/>
            <w:tcBorders>
              <w:left w:val="single" w:sz="18" w:space="0" w:color="FFC000"/>
              <w:right w:val="single" w:sz="4" w:space="0" w:color="FFC000"/>
            </w:tcBorders>
            <w:shd w:val="clear" w:color="auto" w:fill="auto"/>
          </w:tcPr>
          <w:p w14:paraId="7E1BC34E"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475</w:t>
            </w:r>
          </w:p>
        </w:tc>
        <w:tc>
          <w:tcPr>
            <w:tcW w:w="501" w:type="pct"/>
            <w:tcBorders>
              <w:left w:val="single" w:sz="4" w:space="0" w:color="FFC000"/>
              <w:right w:val="single" w:sz="4" w:space="0" w:color="FFC000"/>
            </w:tcBorders>
            <w:shd w:val="clear" w:color="auto" w:fill="auto"/>
          </w:tcPr>
          <w:p w14:paraId="0A2095A1"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496</w:t>
            </w:r>
          </w:p>
        </w:tc>
        <w:tc>
          <w:tcPr>
            <w:tcW w:w="572" w:type="pct"/>
            <w:tcBorders>
              <w:left w:val="single" w:sz="4" w:space="0" w:color="FFC000"/>
              <w:right w:val="single" w:sz="4" w:space="0" w:color="FFC000"/>
            </w:tcBorders>
          </w:tcPr>
          <w:p w14:paraId="1F18F292"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w:t>
            </w:r>
          </w:p>
        </w:tc>
      </w:tr>
      <w:tr w:rsidR="005563F0" w:rsidRPr="005744FA" w14:paraId="65263699" w14:textId="77777777" w:rsidTr="00BB6F70">
        <w:trPr>
          <w:trHeight w:val="63"/>
        </w:trPr>
        <w:tc>
          <w:tcPr>
            <w:tcW w:w="1998" w:type="pct"/>
            <w:tcBorders>
              <w:left w:val="single" w:sz="4" w:space="0" w:color="FFC000"/>
              <w:right w:val="single" w:sz="4" w:space="0" w:color="FFC000"/>
            </w:tcBorders>
            <w:shd w:val="clear" w:color="auto" w:fill="auto"/>
            <w:tcMar>
              <w:right w:w="113" w:type="dxa"/>
            </w:tcMar>
          </w:tcPr>
          <w:p w14:paraId="7BC3014E" w14:textId="77777777" w:rsidR="005563F0" w:rsidRDefault="005563F0" w:rsidP="006E3E50">
            <w:pPr>
              <w:tabs>
                <w:tab w:val="left" w:pos="284"/>
              </w:tabs>
              <w:spacing w:after="0"/>
              <w:rPr>
                <w:rFonts w:cs="Calibri"/>
                <w:color w:val="003C96" w:themeColor="text2"/>
                <w:sz w:val="16"/>
                <w:szCs w:val="16"/>
                <w:vertAlign w:val="superscript"/>
              </w:rPr>
            </w:pPr>
            <w:r w:rsidRPr="007316DD">
              <w:rPr>
                <w:rFonts w:eastAsiaTheme="minorEastAsia" w:cs="Calibri"/>
                <w:color w:val="003C96" w:themeColor="text2"/>
                <w:sz w:val="16"/>
                <w:szCs w:val="16"/>
                <w:lang w:val="en-US"/>
              </w:rPr>
              <w:t>-</w:t>
            </w:r>
            <w:r>
              <w:rPr>
                <w:rFonts w:cs="Calibri"/>
                <w:color w:val="003C96" w:themeColor="text2"/>
                <w:sz w:val="16"/>
                <w:szCs w:val="16"/>
              </w:rPr>
              <w:t xml:space="preserve"> εξαιρουμένων εκτάκτων εσ</w:t>
            </w:r>
            <w:r w:rsidRPr="007316DD">
              <w:rPr>
                <w:rFonts w:cs="Calibri"/>
                <w:color w:val="003C96" w:themeColor="text2"/>
                <w:sz w:val="16"/>
                <w:szCs w:val="16"/>
              </w:rPr>
              <w:t xml:space="preserve">όδων </w:t>
            </w:r>
            <w:r w:rsidRPr="007316DD">
              <w:rPr>
                <w:rFonts w:cs="Calibri"/>
                <w:color w:val="003C96" w:themeColor="text2"/>
                <w:sz w:val="16"/>
                <w:szCs w:val="16"/>
                <w:vertAlign w:val="superscript"/>
              </w:rPr>
              <w:t>1</w:t>
            </w:r>
          </w:p>
          <w:p w14:paraId="0315F5F1" w14:textId="77777777" w:rsidR="005563F0" w:rsidRPr="005744FA" w:rsidRDefault="005563F0" w:rsidP="006E3E50">
            <w:pPr>
              <w:tabs>
                <w:tab w:val="left" w:pos="284"/>
              </w:tabs>
              <w:spacing w:after="0"/>
              <w:rPr>
                <w:rFonts w:eastAsiaTheme="minorEastAsia" w:cs="Calibri"/>
                <w:sz w:val="16"/>
                <w:szCs w:val="16"/>
                <w:lang w:val="en-US"/>
              </w:rPr>
            </w:pPr>
          </w:p>
        </w:tc>
        <w:tc>
          <w:tcPr>
            <w:tcW w:w="465" w:type="pct"/>
            <w:tcBorders>
              <w:left w:val="single" w:sz="4" w:space="0" w:color="FFC000"/>
              <w:right w:val="single" w:sz="4" w:space="0" w:color="FFC000"/>
            </w:tcBorders>
            <w:shd w:val="clear" w:color="auto" w:fill="auto"/>
          </w:tcPr>
          <w:p w14:paraId="7C88C18A" w14:textId="5FAEABD3" w:rsidR="005563F0" w:rsidRPr="005744FA" w:rsidRDefault="005563F0" w:rsidP="00366C06">
            <w:pPr>
              <w:tabs>
                <w:tab w:val="left" w:pos="284"/>
              </w:tabs>
              <w:spacing w:after="0"/>
              <w:jc w:val="right"/>
              <w:rPr>
                <w:rFonts w:eastAsiaTheme="minorEastAsia" w:cs="Calibri"/>
                <w:sz w:val="16"/>
                <w:szCs w:val="16"/>
                <w:lang w:val="en-US"/>
              </w:rPr>
            </w:pPr>
            <w:r>
              <w:rPr>
                <w:rFonts w:eastAsiaTheme="minorEastAsia" w:cs="Calibri"/>
                <w:color w:val="003C96" w:themeColor="text2"/>
                <w:sz w:val="16"/>
                <w:szCs w:val="16"/>
                <w:lang w:val="en-US"/>
              </w:rPr>
              <w:t>1</w:t>
            </w:r>
            <w:r w:rsidR="00366C06">
              <w:rPr>
                <w:rFonts w:eastAsiaTheme="minorEastAsia" w:cs="Calibri"/>
                <w:color w:val="003C96" w:themeColor="text2"/>
                <w:sz w:val="16"/>
                <w:szCs w:val="16"/>
                <w:lang w:val="en-US"/>
              </w:rPr>
              <w:t>.</w:t>
            </w:r>
            <w:r>
              <w:rPr>
                <w:rFonts w:eastAsiaTheme="minorEastAsia" w:cs="Calibri"/>
                <w:color w:val="003C96" w:themeColor="text2"/>
                <w:sz w:val="16"/>
                <w:szCs w:val="16"/>
                <w:lang w:val="en-US"/>
              </w:rPr>
              <w:t>893</w:t>
            </w:r>
          </w:p>
        </w:tc>
        <w:tc>
          <w:tcPr>
            <w:tcW w:w="465" w:type="pct"/>
            <w:tcBorders>
              <w:left w:val="single" w:sz="4" w:space="0" w:color="FFC000"/>
              <w:right w:val="single" w:sz="4" w:space="0" w:color="FFC000"/>
            </w:tcBorders>
            <w:shd w:val="clear" w:color="auto" w:fill="auto"/>
          </w:tcPr>
          <w:p w14:paraId="2575C4AC" w14:textId="4EE11FF2" w:rsidR="005563F0" w:rsidRPr="005744FA" w:rsidRDefault="005563F0" w:rsidP="00366C06">
            <w:pPr>
              <w:tabs>
                <w:tab w:val="left" w:pos="284"/>
              </w:tabs>
              <w:spacing w:after="0"/>
              <w:jc w:val="right"/>
              <w:rPr>
                <w:rFonts w:eastAsiaTheme="minorEastAsia" w:cs="Calibri"/>
                <w:color w:val="000000" w:themeColor="text1"/>
                <w:sz w:val="16"/>
                <w:szCs w:val="16"/>
                <w:lang w:val="en-US"/>
              </w:rPr>
            </w:pPr>
            <w:r>
              <w:rPr>
                <w:rFonts w:eastAsiaTheme="minorEastAsia" w:cs="Calibri"/>
                <w:color w:val="003C96" w:themeColor="text2"/>
                <w:sz w:val="16"/>
                <w:szCs w:val="16"/>
                <w:lang w:val="en-US"/>
              </w:rPr>
              <w:t>1</w:t>
            </w:r>
            <w:r w:rsidR="00366C06">
              <w:rPr>
                <w:rFonts w:eastAsiaTheme="minorEastAsia" w:cs="Calibri"/>
                <w:color w:val="003C96" w:themeColor="text2"/>
                <w:sz w:val="16"/>
                <w:szCs w:val="16"/>
                <w:lang w:val="en-US"/>
              </w:rPr>
              <w:t>.</w:t>
            </w:r>
            <w:r>
              <w:rPr>
                <w:rFonts w:eastAsiaTheme="minorEastAsia" w:cs="Calibri"/>
                <w:color w:val="003C96" w:themeColor="text2"/>
                <w:sz w:val="16"/>
                <w:szCs w:val="16"/>
                <w:lang w:val="en-US"/>
              </w:rPr>
              <w:t>823</w:t>
            </w:r>
          </w:p>
        </w:tc>
        <w:tc>
          <w:tcPr>
            <w:tcW w:w="499" w:type="pct"/>
            <w:tcBorders>
              <w:left w:val="single" w:sz="2" w:space="0" w:color="FFC000"/>
              <w:right w:val="single" w:sz="4" w:space="0" w:color="FFC000"/>
            </w:tcBorders>
            <w:shd w:val="clear" w:color="auto" w:fill="auto"/>
          </w:tcPr>
          <w:p w14:paraId="3206B681"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3C96" w:themeColor="text2"/>
                <w:sz w:val="16"/>
                <w:szCs w:val="16"/>
                <w:lang w:val="en-US"/>
              </w:rPr>
              <w:t>4%</w:t>
            </w:r>
          </w:p>
        </w:tc>
        <w:tc>
          <w:tcPr>
            <w:tcW w:w="501" w:type="pct"/>
            <w:tcBorders>
              <w:left w:val="single" w:sz="18" w:space="0" w:color="FFC000"/>
              <w:right w:val="single" w:sz="4" w:space="0" w:color="FFC000"/>
            </w:tcBorders>
            <w:shd w:val="clear" w:color="auto" w:fill="auto"/>
          </w:tcPr>
          <w:p w14:paraId="4694394C"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color w:val="003C96" w:themeColor="text2"/>
                <w:sz w:val="16"/>
                <w:szCs w:val="16"/>
                <w:lang w:val="en-US"/>
              </w:rPr>
              <w:t>475</w:t>
            </w:r>
          </w:p>
        </w:tc>
        <w:tc>
          <w:tcPr>
            <w:tcW w:w="501" w:type="pct"/>
            <w:tcBorders>
              <w:left w:val="single" w:sz="4" w:space="0" w:color="FFC000"/>
              <w:right w:val="single" w:sz="4" w:space="0" w:color="FFC000"/>
            </w:tcBorders>
            <w:shd w:val="clear" w:color="auto" w:fill="auto"/>
          </w:tcPr>
          <w:p w14:paraId="3F66E88F"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3C96" w:themeColor="text2"/>
                <w:sz w:val="16"/>
                <w:szCs w:val="16"/>
                <w:lang w:val="en-US"/>
              </w:rPr>
              <w:t>496</w:t>
            </w:r>
          </w:p>
        </w:tc>
        <w:tc>
          <w:tcPr>
            <w:tcW w:w="572" w:type="pct"/>
            <w:tcBorders>
              <w:left w:val="single" w:sz="4" w:space="0" w:color="FFC000"/>
              <w:right w:val="single" w:sz="4" w:space="0" w:color="FFC000"/>
            </w:tcBorders>
          </w:tcPr>
          <w:p w14:paraId="69F48885"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color w:val="003C96" w:themeColor="text2"/>
                <w:sz w:val="16"/>
                <w:szCs w:val="16"/>
                <w:lang w:val="en-US"/>
              </w:rPr>
              <w:t>-4%</w:t>
            </w:r>
          </w:p>
        </w:tc>
      </w:tr>
      <w:tr w:rsidR="005563F0" w:rsidRPr="005744FA" w14:paraId="08CE0033" w14:textId="77777777" w:rsidTr="00BB6F70">
        <w:trPr>
          <w:trHeight w:val="264"/>
        </w:trPr>
        <w:tc>
          <w:tcPr>
            <w:tcW w:w="1998" w:type="pct"/>
            <w:tcBorders>
              <w:left w:val="single" w:sz="4" w:space="0" w:color="FFC000"/>
              <w:right w:val="single" w:sz="4" w:space="0" w:color="FFC000"/>
            </w:tcBorders>
            <w:shd w:val="clear" w:color="auto" w:fill="auto"/>
            <w:tcMar>
              <w:right w:w="113" w:type="dxa"/>
            </w:tcMar>
            <w:vAlign w:val="center"/>
          </w:tcPr>
          <w:p w14:paraId="06097516"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Δαπάνες Προσωπικού</w:t>
            </w:r>
          </w:p>
        </w:tc>
        <w:tc>
          <w:tcPr>
            <w:tcW w:w="465" w:type="pct"/>
            <w:tcBorders>
              <w:left w:val="single" w:sz="4" w:space="0" w:color="FFC000"/>
              <w:right w:val="single" w:sz="4" w:space="0" w:color="FFC000"/>
            </w:tcBorders>
            <w:shd w:val="clear" w:color="auto" w:fill="auto"/>
            <w:vAlign w:val="center"/>
          </w:tcPr>
          <w:p w14:paraId="33DD76E1" w14:textId="77777777" w:rsidR="005563F0" w:rsidRPr="00882EC1" w:rsidRDefault="005563F0" w:rsidP="006E3E50">
            <w:pPr>
              <w:tabs>
                <w:tab w:val="left" w:pos="284"/>
              </w:tabs>
              <w:spacing w:after="0"/>
              <w:jc w:val="right"/>
              <w:rPr>
                <w:rFonts w:eastAsiaTheme="minorEastAsia" w:cs="Calibri"/>
                <w:sz w:val="16"/>
                <w:szCs w:val="16"/>
                <w:lang w:val="en-US"/>
              </w:rPr>
            </w:pPr>
            <w:r>
              <w:rPr>
                <w:rFonts w:eastAsiaTheme="minorEastAsia" w:cstheme="minorHAnsi"/>
                <w:color w:val="000000" w:themeColor="text1"/>
                <w:sz w:val="16"/>
                <w:szCs w:val="16"/>
                <w:lang w:val="en-US"/>
              </w:rPr>
              <w:t>(571)</w:t>
            </w:r>
          </w:p>
        </w:tc>
        <w:tc>
          <w:tcPr>
            <w:tcW w:w="465" w:type="pct"/>
            <w:tcBorders>
              <w:left w:val="single" w:sz="4" w:space="0" w:color="FFC000"/>
              <w:right w:val="single" w:sz="4" w:space="0" w:color="FFC000"/>
            </w:tcBorders>
            <w:shd w:val="clear" w:color="auto" w:fill="auto"/>
            <w:vAlign w:val="center"/>
          </w:tcPr>
          <w:p w14:paraId="52265DD2" w14:textId="77777777" w:rsidR="005563F0" w:rsidRPr="005744FA"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sz w:val="16"/>
                <w:szCs w:val="16"/>
                <w:lang w:val="en-US"/>
              </w:rPr>
              <w:t>(504)</w:t>
            </w:r>
          </w:p>
        </w:tc>
        <w:tc>
          <w:tcPr>
            <w:tcW w:w="499" w:type="pct"/>
            <w:tcBorders>
              <w:left w:val="single" w:sz="2" w:space="0" w:color="FFC000"/>
              <w:right w:val="single" w:sz="4" w:space="0" w:color="FFC000"/>
            </w:tcBorders>
            <w:shd w:val="clear" w:color="auto" w:fill="auto"/>
            <w:vAlign w:val="center"/>
          </w:tcPr>
          <w:p w14:paraId="24EA1117"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13%</w:t>
            </w:r>
          </w:p>
        </w:tc>
        <w:tc>
          <w:tcPr>
            <w:tcW w:w="501" w:type="pct"/>
            <w:tcBorders>
              <w:left w:val="single" w:sz="18" w:space="0" w:color="FFC000"/>
              <w:right w:val="single" w:sz="4" w:space="0" w:color="FFC000"/>
            </w:tcBorders>
            <w:shd w:val="clear" w:color="auto" w:fill="auto"/>
            <w:vAlign w:val="center"/>
          </w:tcPr>
          <w:p w14:paraId="429E63FD"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(252)</w:t>
            </w:r>
          </w:p>
        </w:tc>
        <w:tc>
          <w:tcPr>
            <w:tcW w:w="501" w:type="pct"/>
            <w:tcBorders>
              <w:left w:val="single" w:sz="4" w:space="0" w:color="FFC000"/>
              <w:right w:val="single" w:sz="4" w:space="0" w:color="FFC000"/>
            </w:tcBorders>
            <w:shd w:val="clear" w:color="auto" w:fill="auto"/>
            <w:vAlign w:val="center"/>
          </w:tcPr>
          <w:p w14:paraId="516EC96F"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(107)</w:t>
            </w:r>
          </w:p>
        </w:tc>
        <w:tc>
          <w:tcPr>
            <w:tcW w:w="572" w:type="pct"/>
            <w:tcBorders>
              <w:left w:val="single" w:sz="4" w:space="0" w:color="FFC000"/>
              <w:right w:val="single" w:sz="4" w:space="0" w:color="FFC000"/>
            </w:tcBorders>
            <w:vAlign w:val="center"/>
          </w:tcPr>
          <w:p w14:paraId="22329013"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134%</w:t>
            </w:r>
          </w:p>
        </w:tc>
      </w:tr>
      <w:tr w:rsidR="005563F0" w:rsidRPr="005744FA" w14:paraId="10E3F788" w14:textId="77777777" w:rsidTr="00BB6F70">
        <w:trPr>
          <w:trHeight w:val="264"/>
        </w:trPr>
        <w:tc>
          <w:tcPr>
            <w:tcW w:w="1998" w:type="pct"/>
            <w:tcBorders>
              <w:left w:val="single" w:sz="4" w:space="0" w:color="FFC000"/>
              <w:right w:val="single" w:sz="4" w:space="0" w:color="FFC000"/>
            </w:tcBorders>
            <w:shd w:val="clear" w:color="auto" w:fill="auto"/>
            <w:tcMar>
              <w:right w:w="113" w:type="dxa"/>
            </w:tcMar>
            <w:vAlign w:val="center"/>
          </w:tcPr>
          <w:p w14:paraId="61EA4917" w14:textId="77777777" w:rsidR="005563F0" w:rsidRPr="008E0EBD" w:rsidRDefault="005563F0" w:rsidP="006E3E50">
            <w:pPr>
              <w:tabs>
                <w:tab w:val="left" w:pos="284"/>
              </w:tabs>
              <w:spacing w:after="0"/>
              <w:rPr>
                <w:rFonts w:ascii="Calibri" w:eastAsiaTheme="minorEastAsia" w:hAnsi="Calibri" w:cs="Calibri"/>
                <w:color w:val="003C96" w:themeColor="text2"/>
                <w:sz w:val="16"/>
                <w:szCs w:val="16"/>
                <w:lang w:val="en-US"/>
              </w:rPr>
            </w:pPr>
            <w:r w:rsidRPr="007316DD">
              <w:rPr>
                <w:rFonts w:eastAsiaTheme="minorEastAsia" w:cs="Calibri"/>
                <w:color w:val="003C96" w:themeColor="text2"/>
                <w:sz w:val="16"/>
                <w:szCs w:val="16"/>
                <w:lang w:val="en-US"/>
              </w:rPr>
              <w:t>-</w:t>
            </w:r>
            <w:r w:rsidRPr="007316DD">
              <w:rPr>
                <w:rFonts w:cs="Calibri"/>
                <w:color w:val="003C96" w:themeColor="text2"/>
                <w:sz w:val="16"/>
                <w:szCs w:val="16"/>
              </w:rPr>
              <w:t xml:space="preserve"> εξαιρουμένων εκτάκτων εξόδων </w:t>
            </w:r>
            <w:r w:rsidRPr="007316DD">
              <w:rPr>
                <w:rFonts w:cs="Calibri"/>
                <w:color w:val="003C96" w:themeColor="text2"/>
                <w:sz w:val="16"/>
                <w:szCs w:val="16"/>
                <w:vertAlign w:val="superscript"/>
              </w:rPr>
              <w:t>1</w:t>
            </w:r>
          </w:p>
        </w:tc>
        <w:tc>
          <w:tcPr>
            <w:tcW w:w="465" w:type="pct"/>
            <w:tcBorders>
              <w:left w:val="single" w:sz="4" w:space="0" w:color="FFC000"/>
              <w:right w:val="single" w:sz="4" w:space="0" w:color="FFC000"/>
            </w:tcBorders>
            <w:shd w:val="clear" w:color="auto" w:fill="auto"/>
            <w:vAlign w:val="center"/>
          </w:tcPr>
          <w:p w14:paraId="7402E9C5" w14:textId="77777777" w:rsidR="005563F0" w:rsidRPr="008E0EBD"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(424)</w:t>
            </w:r>
          </w:p>
        </w:tc>
        <w:tc>
          <w:tcPr>
            <w:tcW w:w="465" w:type="pct"/>
            <w:tcBorders>
              <w:left w:val="single" w:sz="4" w:space="0" w:color="FFC000"/>
              <w:right w:val="single" w:sz="4" w:space="0" w:color="FFC000"/>
            </w:tcBorders>
            <w:shd w:val="clear" w:color="auto" w:fill="auto"/>
            <w:vAlign w:val="center"/>
          </w:tcPr>
          <w:p w14:paraId="2ECF126B" w14:textId="77777777" w:rsidR="005563F0" w:rsidRPr="008E0EBD"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(468)</w:t>
            </w:r>
          </w:p>
        </w:tc>
        <w:tc>
          <w:tcPr>
            <w:tcW w:w="499" w:type="pct"/>
            <w:tcBorders>
              <w:left w:val="single" w:sz="2" w:space="0" w:color="FFC000"/>
              <w:right w:val="single" w:sz="4" w:space="0" w:color="FFC000"/>
            </w:tcBorders>
            <w:shd w:val="clear" w:color="auto" w:fill="auto"/>
            <w:vAlign w:val="center"/>
          </w:tcPr>
          <w:p w14:paraId="5902636B"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-10%</w:t>
            </w:r>
          </w:p>
        </w:tc>
        <w:tc>
          <w:tcPr>
            <w:tcW w:w="501" w:type="pct"/>
            <w:tcBorders>
              <w:left w:val="single" w:sz="18" w:space="0" w:color="FFC000"/>
              <w:right w:val="single" w:sz="4" w:space="0" w:color="FFC000"/>
            </w:tcBorders>
            <w:shd w:val="clear" w:color="auto" w:fill="auto"/>
            <w:vAlign w:val="center"/>
          </w:tcPr>
          <w:p w14:paraId="4BACE3D3" w14:textId="77777777" w:rsidR="005563F0" w:rsidRPr="008E0EBD"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(105)</w:t>
            </w:r>
          </w:p>
        </w:tc>
        <w:tc>
          <w:tcPr>
            <w:tcW w:w="501" w:type="pct"/>
            <w:tcBorders>
              <w:left w:val="single" w:sz="4" w:space="0" w:color="FFC000"/>
              <w:right w:val="single" w:sz="4" w:space="0" w:color="FFC000"/>
            </w:tcBorders>
            <w:shd w:val="clear" w:color="auto" w:fill="auto"/>
            <w:vAlign w:val="center"/>
          </w:tcPr>
          <w:p w14:paraId="42ACFB55"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(107)</w:t>
            </w:r>
          </w:p>
        </w:tc>
        <w:tc>
          <w:tcPr>
            <w:tcW w:w="572" w:type="pct"/>
            <w:tcBorders>
              <w:left w:val="single" w:sz="4" w:space="0" w:color="FFC000"/>
              <w:right w:val="single" w:sz="4" w:space="0" w:color="FFC000"/>
            </w:tcBorders>
            <w:vAlign w:val="center"/>
          </w:tcPr>
          <w:p w14:paraId="0132B204"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w:t>
            </w:r>
          </w:p>
        </w:tc>
      </w:tr>
      <w:tr w:rsidR="005563F0" w:rsidRPr="005744FA" w14:paraId="1D07DA84" w14:textId="77777777" w:rsidTr="00BB6F70">
        <w:trPr>
          <w:trHeight w:val="264"/>
        </w:trPr>
        <w:tc>
          <w:tcPr>
            <w:tcW w:w="1998" w:type="pct"/>
            <w:tcBorders>
              <w:left w:val="single" w:sz="4" w:space="0" w:color="FFC000"/>
              <w:right w:val="single" w:sz="4" w:space="0" w:color="FFC000"/>
            </w:tcBorders>
            <w:shd w:val="clear" w:color="auto" w:fill="auto"/>
            <w:tcMar>
              <w:right w:w="113" w:type="dxa"/>
            </w:tcMar>
            <w:vAlign w:val="center"/>
          </w:tcPr>
          <w:p w14:paraId="149BD91A"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Γενικά Διοικητικά Έξοδα</w:t>
            </w:r>
          </w:p>
        </w:tc>
        <w:tc>
          <w:tcPr>
            <w:tcW w:w="465" w:type="pct"/>
            <w:tcBorders>
              <w:left w:val="single" w:sz="4" w:space="0" w:color="FFC000"/>
              <w:right w:val="single" w:sz="4" w:space="0" w:color="FFC000"/>
            </w:tcBorders>
            <w:shd w:val="clear" w:color="auto" w:fill="auto"/>
            <w:vAlign w:val="center"/>
          </w:tcPr>
          <w:p w14:paraId="39E47E5E"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(399)</w:t>
            </w:r>
          </w:p>
        </w:tc>
        <w:tc>
          <w:tcPr>
            <w:tcW w:w="465" w:type="pct"/>
            <w:tcBorders>
              <w:left w:val="single" w:sz="4" w:space="0" w:color="FFC000"/>
              <w:right w:val="single" w:sz="4" w:space="0" w:color="FFC000"/>
            </w:tcBorders>
            <w:shd w:val="clear" w:color="auto" w:fill="auto"/>
            <w:vAlign w:val="center"/>
          </w:tcPr>
          <w:p w14:paraId="0DD0BC06" w14:textId="77777777" w:rsidR="005563F0" w:rsidRPr="005744FA"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sz w:val="16"/>
                <w:szCs w:val="16"/>
                <w:lang w:val="en-US"/>
              </w:rPr>
              <w:t>(386)</w:t>
            </w:r>
          </w:p>
        </w:tc>
        <w:tc>
          <w:tcPr>
            <w:tcW w:w="499" w:type="pct"/>
            <w:tcBorders>
              <w:left w:val="single" w:sz="2" w:space="0" w:color="FFC000"/>
              <w:right w:val="single" w:sz="4" w:space="0" w:color="FFC000"/>
            </w:tcBorders>
            <w:shd w:val="clear" w:color="auto" w:fill="auto"/>
            <w:vAlign w:val="center"/>
          </w:tcPr>
          <w:p w14:paraId="1BC9E223"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3%</w:t>
            </w:r>
          </w:p>
        </w:tc>
        <w:tc>
          <w:tcPr>
            <w:tcW w:w="501" w:type="pct"/>
            <w:tcBorders>
              <w:left w:val="single" w:sz="18" w:space="0" w:color="FFC000"/>
              <w:right w:val="single" w:sz="4" w:space="0" w:color="FFC000"/>
            </w:tcBorders>
            <w:shd w:val="clear" w:color="auto" w:fill="auto"/>
            <w:vAlign w:val="center"/>
          </w:tcPr>
          <w:p w14:paraId="2AF515C8"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sz w:val="16"/>
                <w:szCs w:val="16"/>
                <w:lang w:val="en-US"/>
              </w:rPr>
              <w:t>(119)</w:t>
            </w:r>
          </w:p>
        </w:tc>
        <w:tc>
          <w:tcPr>
            <w:tcW w:w="501" w:type="pct"/>
            <w:tcBorders>
              <w:left w:val="single" w:sz="4" w:space="0" w:color="FFC000"/>
              <w:right w:val="single" w:sz="4" w:space="0" w:color="FFC000"/>
            </w:tcBorders>
            <w:shd w:val="clear" w:color="auto" w:fill="auto"/>
            <w:vAlign w:val="center"/>
          </w:tcPr>
          <w:p w14:paraId="175174EC"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(98)</w:t>
            </w:r>
          </w:p>
        </w:tc>
        <w:tc>
          <w:tcPr>
            <w:tcW w:w="572" w:type="pct"/>
            <w:tcBorders>
              <w:left w:val="single" w:sz="4" w:space="0" w:color="FFC000"/>
              <w:right w:val="single" w:sz="4" w:space="0" w:color="FFC000"/>
            </w:tcBorders>
            <w:vAlign w:val="center"/>
          </w:tcPr>
          <w:p w14:paraId="2AFF3E5A" w14:textId="77777777" w:rsidR="005563F0"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21%</w:t>
            </w:r>
          </w:p>
        </w:tc>
      </w:tr>
      <w:tr w:rsidR="005563F0" w:rsidRPr="005744FA" w14:paraId="712B3BEE" w14:textId="77777777" w:rsidTr="00BB6F70">
        <w:trPr>
          <w:trHeight w:val="264"/>
        </w:trPr>
        <w:tc>
          <w:tcPr>
            <w:tcW w:w="1998" w:type="pct"/>
            <w:tcBorders>
              <w:left w:val="single" w:sz="4" w:space="0" w:color="FFC000"/>
              <w:right w:val="single" w:sz="4" w:space="0" w:color="FFC000"/>
            </w:tcBorders>
            <w:shd w:val="clear" w:color="auto" w:fill="auto"/>
            <w:tcMar>
              <w:right w:w="113" w:type="dxa"/>
            </w:tcMar>
            <w:vAlign w:val="center"/>
          </w:tcPr>
          <w:p w14:paraId="5156A8EF"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Αποσβέσεις και Λοιπά Έξοδα</w:t>
            </w:r>
          </w:p>
        </w:tc>
        <w:tc>
          <w:tcPr>
            <w:tcW w:w="465" w:type="pct"/>
            <w:tcBorders>
              <w:left w:val="single" w:sz="4" w:space="0" w:color="FFC000"/>
              <w:right w:val="single" w:sz="4" w:space="0" w:color="FFC000"/>
            </w:tcBorders>
            <w:shd w:val="clear" w:color="auto" w:fill="auto"/>
            <w:vAlign w:val="center"/>
          </w:tcPr>
          <w:p w14:paraId="049BAE65"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(115)</w:t>
            </w:r>
          </w:p>
        </w:tc>
        <w:tc>
          <w:tcPr>
            <w:tcW w:w="465" w:type="pct"/>
            <w:tcBorders>
              <w:left w:val="single" w:sz="4" w:space="0" w:color="FFC000"/>
              <w:right w:val="single" w:sz="4" w:space="0" w:color="FFC000"/>
            </w:tcBorders>
            <w:shd w:val="clear" w:color="auto" w:fill="auto"/>
            <w:vAlign w:val="center"/>
          </w:tcPr>
          <w:p w14:paraId="637E1CCD" w14:textId="77777777" w:rsidR="005563F0" w:rsidRPr="005744FA"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sz w:val="16"/>
                <w:szCs w:val="16"/>
                <w:lang w:val="en-US"/>
              </w:rPr>
              <w:t>(123)</w:t>
            </w:r>
          </w:p>
        </w:tc>
        <w:tc>
          <w:tcPr>
            <w:tcW w:w="499" w:type="pct"/>
            <w:tcBorders>
              <w:left w:val="single" w:sz="2" w:space="0" w:color="FFC000"/>
              <w:right w:val="single" w:sz="4" w:space="0" w:color="FFC000"/>
            </w:tcBorders>
            <w:shd w:val="clear" w:color="auto" w:fill="auto"/>
            <w:vAlign w:val="center"/>
          </w:tcPr>
          <w:p w14:paraId="7823C294"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w:t>
            </w:r>
          </w:p>
        </w:tc>
        <w:tc>
          <w:tcPr>
            <w:tcW w:w="501" w:type="pct"/>
            <w:tcBorders>
              <w:left w:val="single" w:sz="18" w:space="0" w:color="FFC000"/>
              <w:right w:val="single" w:sz="4" w:space="0" w:color="FFC000"/>
            </w:tcBorders>
            <w:shd w:val="clear" w:color="auto" w:fill="auto"/>
            <w:vAlign w:val="center"/>
          </w:tcPr>
          <w:p w14:paraId="0EECAD5E"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(28)</w:t>
            </w:r>
          </w:p>
        </w:tc>
        <w:tc>
          <w:tcPr>
            <w:tcW w:w="501" w:type="pct"/>
            <w:tcBorders>
              <w:left w:val="single" w:sz="4" w:space="0" w:color="FFC000"/>
              <w:right w:val="single" w:sz="4" w:space="0" w:color="FFC000"/>
            </w:tcBorders>
            <w:shd w:val="clear" w:color="auto" w:fill="auto"/>
            <w:vAlign w:val="center"/>
          </w:tcPr>
          <w:p w14:paraId="28C39D88"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(28)</w:t>
            </w:r>
          </w:p>
        </w:tc>
        <w:tc>
          <w:tcPr>
            <w:tcW w:w="572" w:type="pct"/>
            <w:tcBorders>
              <w:left w:val="single" w:sz="4" w:space="0" w:color="FFC000"/>
              <w:right w:val="single" w:sz="4" w:space="0" w:color="FFC000"/>
            </w:tcBorders>
            <w:vAlign w:val="center"/>
          </w:tcPr>
          <w:p w14:paraId="737F2E97"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w:t>
            </w:r>
          </w:p>
        </w:tc>
      </w:tr>
      <w:tr w:rsidR="005563F0" w:rsidRPr="005744FA" w14:paraId="13BFA720" w14:textId="77777777" w:rsidTr="00BB6F70">
        <w:trPr>
          <w:trHeight w:val="264"/>
        </w:trPr>
        <w:tc>
          <w:tcPr>
            <w:tcW w:w="1998" w:type="pct"/>
            <w:tcBorders>
              <w:left w:val="single" w:sz="4" w:space="0" w:color="FFC000"/>
              <w:right w:val="single" w:sz="4" w:space="0" w:color="FFC000"/>
            </w:tcBorders>
            <w:shd w:val="clear" w:color="auto" w:fill="auto"/>
            <w:tcMar>
              <w:right w:w="113" w:type="dxa"/>
            </w:tcMar>
            <w:vAlign w:val="center"/>
          </w:tcPr>
          <w:p w14:paraId="22A71B04"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Σύνολο Λειτουργικών Εξόδων</w:t>
            </w:r>
          </w:p>
        </w:tc>
        <w:tc>
          <w:tcPr>
            <w:tcW w:w="465" w:type="pct"/>
            <w:tcBorders>
              <w:left w:val="single" w:sz="4" w:space="0" w:color="FFC000"/>
              <w:right w:val="single" w:sz="4" w:space="0" w:color="FFC000"/>
            </w:tcBorders>
            <w:shd w:val="clear" w:color="auto" w:fill="auto"/>
            <w:vAlign w:val="center"/>
          </w:tcPr>
          <w:p w14:paraId="7FC41E2C" w14:textId="60D9E017" w:rsidR="005563F0" w:rsidRPr="005744FA" w:rsidRDefault="00366C06"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w:t>
            </w:r>
            <w:r w:rsidR="005563F0">
              <w:rPr>
                <w:rFonts w:eastAsiaTheme="minorEastAsia" w:cs="Calibri"/>
                <w:sz w:val="16"/>
                <w:szCs w:val="16"/>
                <w:lang w:val="en-US"/>
              </w:rPr>
              <w:t>084)</w:t>
            </w:r>
          </w:p>
        </w:tc>
        <w:tc>
          <w:tcPr>
            <w:tcW w:w="465" w:type="pct"/>
            <w:tcBorders>
              <w:left w:val="single" w:sz="4" w:space="0" w:color="FFC000"/>
              <w:right w:val="single" w:sz="4" w:space="0" w:color="FFC000"/>
            </w:tcBorders>
            <w:shd w:val="clear" w:color="auto" w:fill="auto"/>
            <w:vAlign w:val="center"/>
          </w:tcPr>
          <w:p w14:paraId="21C68741" w14:textId="6CB1D40B" w:rsidR="005563F0" w:rsidRPr="005744FA" w:rsidRDefault="005563F0" w:rsidP="00366C06">
            <w:pPr>
              <w:tabs>
                <w:tab w:val="left" w:pos="284"/>
              </w:tabs>
              <w:spacing w:after="0"/>
              <w:jc w:val="right"/>
              <w:rPr>
                <w:rFonts w:eastAsiaTheme="minorEastAsia" w:cs="Calibri"/>
                <w:color w:val="000000" w:themeColor="text1"/>
                <w:sz w:val="16"/>
                <w:szCs w:val="16"/>
                <w:lang w:val="en-US"/>
              </w:rPr>
            </w:pPr>
            <w:r>
              <w:rPr>
                <w:rFonts w:eastAsiaTheme="minorEastAsia" w:cs="Calibri"/>
                <w:sz w:val="16"/>
                <w:szCs w:val="16"/>
                <w:lang w:val="en-US"/>
              </w:rPr>
              <w:t>(1</w:t>
            </w:r>
            <w:r w:rsidR="00366C06">
              <w:rPr>
                <w:rFonts w:eastAsiaTheme="minorEastAsia" w:cs="Calibri"/>
                <w:sz w:val="16"/>
                <w:szCs w:val="16"/>
                <w:lang w:val="en-US"/>
              </w:rPr>
              <w:t>.</w:t>
            </w:r>
            <w:r>
              <w:rPr>
                <w:rFonts w:eastAsiaTheme="minorEastAsia" w:cs="Calibri"/>
                <w:sz w:val="16"/>
                <w:szCs w:val="16"/>
                <w:lang w:val="en-US"/>
              </w:rPr>
              <w:t>013)</w:t>
            </w:r>
          </w:p>
        </w:tc>
        <w:tc>
          <w:tcPr>
            <w:tcW w:w="499" w:type="pct"/>
            <w:tcBorders>
              <w:left w:val="single" w:sz="2" w:space="0" w:color="FFC000"/>
              <w:right w:val="single" w:sz="4" w:space="0" w:color="FFC000"/>
            </w:tcBorders>
            <w:shd w:val="clear" w:color="auto" w:fill="auto"/>
            <w:vAlign w:val="center"/>
          </w:tcPr>
          <w:p w14:paraId="583F9976"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w:t>
            </w:r>
          </w:p>
        </w:tc>
        <w:tc>
          <w:tcPr>
            <w:tcW w:w="501" w:type="pct"/>
            <w:tcBorders>
              <w:left w:val="single" w:sz="18" w:space="0" w:color="FFC000"/>
              <w:right w:val="single" w:sz="4" w:space="0" w:color="FFC000"/>
            </w:tcBorders>
            <w:shd w:val="clear" w:color="auto" w:fill="auto"/>
            <w:vAlign w:val="center"/>
          </w:tcPr>
          <w:p w14:paraId="1AEF1D56" w14:textId="77777777" w:rsidR="005563F0" w:rsidRPr="005744FA"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(399)</w:t>
            </w:r>
          </w:p>
        </w:tc>
        <w:tc>
          <w:tcPr>
            <w:tcW w:w="501" w:type="pct"/>
            <w:tcBorders>
              <w:left w:val="single" w:sz="4" w:space="0" w:color="FFC000"/>
              <w:right w:val="single" w:sz="4" w:space="0" w:color="FFC000"/>
            </w:tcBorders>
            <w:shd w:val="clear" w:color="auto" w:fill="auto"/>
            <w:vAlign w:val="center"/>
          </w:tcPr>
          <w:p w14:paraId="62451B12"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(234)</w:t>
            </w:r>
          </w:p>
        </w:tc>
        <w:tc>
          <w:tcPr>
            <w:tcW w:w="572" w:type="pct"/>
            <w:tcBorders>
              <w:left w:val="single" w:sz="4" w:space="0" w:color="FFC000"/>
              <w:right w:val="single" w:sz="4" w:space="0" w:color="FFC000"/>
            </w:tcBorders>
            <w:vAlign w:val="center"/>
          </w:tcPr>
          <w:p w14:paraId="102C6F89"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70%</w:t>
            </w:r>
          </w:p>
        </w:tc>
      </w:tr>
      <w:tr w:rsidR="005563F0" w:rsidRPr="005744FA" w14:paraId="26E966ED" w14:textId="77777777" w:rsidTr="00BB6F70">
        <w:trPr>
          <w:trHeight w:val="379"/>
        </w:trPr>
        <w:tc>
          <w:tcPr>
            <w:tcW w:w="1998" w:type="pct"/>
            <w:tcBorders>
              <w:left w:val="single" w:sz="4" w:space="0" w:color="FFC000"/>
              <w:right w:val="single" w:sz="4" w:space="0" w:color="FFC000"/>
            </w:tcBorders>
            <w:shd w:val="clear" w:color="auto" w:fill="auto"/>
            <w:tcMar>
              <w:right w:w="113" w:type="dxa"/>
            </w:tcMar>
            <w:vAlign w:val="center"/>
          </w:tcPr>
          <w:p w14:paraId="3A7B2D9F" w14:textId="77777777" w:rsidR="005563F0" w:rsidRPr="00B1304D" w:rsidRDefault="005563F0" w:rsidP="006E3E50">
            <w:pPr>
              <w:tabs>
                <w:tab w:val="left" w:pos="284"/>
              </w:tabs>
              <w:spacing w:after="0"/>
              <w:rPr>
                <w:rFonts w:eastAsiaTheme="minorEastAsia" w:cs="Calibri"/>
                <w:color w:val="003C96" w:themeColor="text2"/>
                <w:sz w:val="16"/>
                <w:szCs w:val="16"/>
                <w:vertAlign w:val="superscript"/>
              </w:rPr>
            </w:pPr>
            <w:r w:rsidRPr="00B1304D">
              <w:rPr>
                <w:rFonts w:eastAsiaTheme="minorEastAsia" w:cs="Calibri"/>
                <w:color w:val="003C96" w:themeColor="text2"/>
                <w:sz w:val="16"/>
                <w:szCs w:val="16"/>
              </w:rPr>
              <w:t xml:space="preserve">- </w:t>
            </w:r>
            <w:r w:rsidRPr="007316DD">
              <w:rPr>
                <w:rFonts w:eastAsiaTheme="minorEastAsia" w:cs="Calibri"/>
                <w:color w:val="003C96" w:themeColor="text2"/>
                <w:sz w:val="16"/>
                <w:szCs w:val="16"/>
              </w:rPr>
              <w:t>εξαιρουμένων</w:t>
            </w:r>
            <w:r w:rsidRPr="00B1304D">
              <w:rPr>
                <w:rFonts w:eastAsiaTheme="minorEastAsia" w:cs="Calibri"/>
                <w:color w:val="003C96" w:themeColor="text2"/>
                <w:sz w:val="16"/>
                <w:szCs w:val="16"/>
              </w:rPr>
              <w:t xml:space="preserve"> </w:t>
            </w:r>
            <w:r w:rsidRPr="007316DD">
              <w:rPr>
                <w:rFonts w:eastAsiaTheme="minorEastAsia" w:cs="Calibri"/>
                <w:color w:val="003C96" w:themeColor="text2"/>
                <w:sz w:val="16"/>
                <w:szCs w:val="16"/>
              </w:rPr>
              <w:t>εκτάκτων</w:t>
            </w:r>
            <w:r w:rsidRPr="00B1304D">
              <w:rPr>
                <w:rFonts w:eastAsiaTheme="minorEastAsia" w:cs="Calibri"/>
                <w:color w:val="003C96" w:themeColor="text2"/>
                <w:sz w:val="16"/>
                <w:szCs w:val="16"/>
              </w:rPr>
              <w:t xml:space="preserve"> </w:t>
            </w:r>
            <w:r w:rsidRPr="007316DD">
              <w:rPr>
                <w:rFonts w:eastAsiaTheme="minorEastAsia" w:cs="Calibri"/>
                <w:color w:val="003C96" w:themeColor="text2"/>
                <w:sz w:val="16"/>
                <w:szCs w:val="16"/>
              </w:rPr>
              <w:t>εξόδων</w:t>
            </w:r>
            <w:r>
              <w:rPr>
                <w:rFonts w:eastAsiaTheme="minorEastAsia" w:cs="Calibri"/>
                <w:color w:val="003C96" w:themeColor="text2"/>
                <w:sz w:val="16"/>
                <w:szCs w:val="16"/>
              </w:rPr>
              <w:t xml:space="preserve"> </w:t>
            </w:r>
            <w:r w:rsidRPr="00753F03">
              <w:rPr>
                <w:rFonts w:eastAsiaTheme="minorEastAsia" w:cs="Calibri"/>
                <w:color w:val="003C96" w:themeColor="text2"/>
                <w:sz w:val="16"/>
                <w:szCs w:val="16"/>
                <w:vertAlign w:val="superscript"/>
              </w:rPr>
              <w:t>1</w:t>
            </w:r>
          </w:p>
        </w:tc>
        <w:tc>
          <w:tcPr>
            <w:tcW w:w="465" w:type="pct"/>
            <w:tcBorders>
              <w:left w:val="single" w:sz="4" w:space="0" w:color="FFC000"/>
              <w:right w:val="single" w:sz="4" w:space="0" w:color="FFC000"/>
            </w:tcBorders>
            <w:shd w:val="clear" w:color="auto" w:fill="auto"/>
            <w:vAlign w:val="center"/>
          </w:tcPr>
          <w:p w14:paraId="2292130A" w14:textId="77777777" w:rsidR="005563F0" w:rsidRPr="00882EC1"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(937)</w:t>
            </w:r>
          </w:p>
        </w:tc>
        <w:tc>
          <w:tcPr>
            <w:tcW w:w="465" w:type="pct"/>
            <w:tcBorders>
              <w:left w:val="single" w:sz="4" w:space="0" w:color="FFC000"/>
              <w:right w:val="single" w:sz="4" w:space="0" w:color="FFC000"/>
            </w:tcBorders>
            <w:shd w:val="clear" w:color="auto" w:fill="auto"/>
            <w:vAlign w:val="center"/>
          </w:tcPr>
          <w:p w14:paraId="58F13E26" w14:textId="77777777" w:rsidR="005563F0" w:rsidRPr="005744FA"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(977)</w:t>
            </w:r>
          </w:p>
        </w:tc>
        <w:tc>
          <w:tcPr>
            <w:tcW w:w="499" w:type="pct"/>
            <w:tcBorders>
              <w:left w:val="single" w:sz="2" w:space="0" w:color="FFC000"/>
              <w:right w:val="single" w:sz="4" w:space="0" w:color="FFC000"/>
            </w:tcBorders>
            <w:shd w:val="clear" w:color="auto" w:fill="auto"/>
            <w:vAlign w:val="center"/>
          </w:tcPr>
          <w:p w14:paraId="39EA17A3"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-4%</w:t>
            </w:r>
          </w:p>
        </w:tc>
        <w:tc>
          <w:tcPr>
            <w:tcW w:w="501" w:type="pct"/>
            <w:tcBorders>
              <w:left w:val="single" w:sz="18" w:space="0" w:color="FFC000"/>
              <w:right w:val="single" w:sz="4" w:space="0" w:color="FFC000"/>
            </w:tcBorders>
            <w:shd w:val="clear" w:color="auto" w:fill="auto"/>
            <w:vAlign w:val="center"/>
          </w:tcPr>
          <w:p w14:paraId="6499AE44" w14:textId="77777777" w:rsidR="005563F0" w:rsidRPr="005744FA"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(252)</w:t>
            </w:r>
          </w:p>
        </w:tc>
        <w:tc>
          <w:tcPr>
            <w:tcW w:w="501" w:type="pct"/>
            <w:tcBorders>
              <w:left w:val="single" w:sz="4" w:space="0" w:color="FFC000"/>
              <w:right w:val="single" w:sz="4" w:space="0" w:color="FFC000"/>
            </w:tcBorders>
            <w:shd w:val="clear" w:color="auto" w:fill="auto"/>
            <w:vAlign w:val="center"/>
          </w:tcPr>
          <w:p w14:paraId="76BF4FAD"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(234)</w:t>
            </w:r>
          </w:p>
        </w:tc>
        <w:tc>
          <w:tcPr>
            <w:tcW w:w="572" w:type="pct"/>
            <w:tcBorders>
              <w:left w:val="single" w:sz="4" w:space="0" w:color="FFC000"/>
              <w:right w:val="single" w:sz="4" w:space="0" w:color="FFC000"/>
            </w:tcBorders>
            <w:vAlign w:val="center"/>
          </w:tcPr>
          <w:p w14:paraId="24608C0C"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8%</w:t>
            </w:r>
          </w:p>
        </w:tc>
      </w:tr>
      <w:tr w:rsidR="005563F0" w:rsidRPr="005744FA" w14:paraId="3964F017" w14:textId="77777777" w:rsidTr="00BB6F70">
        <w:trPr>
          <w:trHeight w:val="63"/>
        </w:trPr>
        <w:tc>
          <w:tcPr>
            <w:tcW w:w="1998" w:type="pct"/>
            <w:tcBorders>
              <w:left w:val="single" w:sz="4" w:space="0" w:color="FFC000"/>
              <w:right w:val="single" w:sz="4" w:space="0" w:color="FFC000"/>
            </w:tcBorders>
            <w:shd w:val="clear" w:color="auto" w:fill="auto"/>
            <w:tcMar>
              <w:right w:w="113" w:type="dxa"/>
            </w:tcMar>
            <w:vAlign w:val="center"/>
          </w:tcPr>
          <w:p w14:paraId="631E5F46" w14:textId="77777777" w:rsidR="005563F0" w:rsidRPr="005744FA" w:rsidRDefault="005563F0" w:rsidP="006E3E50">
            <w:pPr>
              <w:tabs>
                <w:tab w:val="left" w:pos="284"/>
              </w:tabs>
              <w:spacing w:after="0"/>
              <w:rPr>
                <w:rFonts w:eastAsiaTheme="minorEastAsia" w:cs="Calibri"/>
                <w:sz w:val="16"/>
                <w:szCs w:val="16"/>
                <w:lang w:val="en-US"/>
              </w:rPr>
            </w:pPr>
            <w:r>
              <w:rPr>
                <w:rFonts w:eastAsiaTheme="minorEastAsia" w:cs="Calibri"/>
                <w:color w:val="003C96" w:themeColor="text2"/>
                <w:sz w:val="16"/>
                <w:szCs w:val="16"/>
              </w:rPr>
              <w:t xml:space="preserve">- σε συγκρίσιμη βάση </w:t>
            </w:r>
            <w:r w:rsidRPr="007316DD">
              <w:rPr>
                <w:rFonts w:eastAsiaTheme="minorEastAsia" w:cs="Calibri"/>
                <w:color w:val="003C96" w:themeColor="text2"/>
                <w:sz w:val="16"/>
                <w:szCs w:val="16"/>
              </w:rPr>
              <w:t xml:space="preserve"> </w:t>
            </w:r>
            <w:r w:rsidRPr="00753F03">
              <w:rPr>
                <w:rFonts w:eastAsiaTheme="minorEastAsia" w:cs="Calibri"/>
                <w:color w:val="003C96" w:themeColor="text2"/>
                <w:sz w:val="16"/>
                <w:szCs w:val="16"/>
                <w:vertAlign w:val="superscript"/>
              </w:rPr>
              <w:t>2</w:t>
            </w:r>
          </w:p>
        </w:tc>
        <w:tc>
          <w:tcPr>
            <w:tcW w:w="465" w:type="pct"/>
            <w:tcBorders>
              <w:left w:val="single" w:sz="4" w:space="0" w:color="FFC000"/>
              <w:right w:val="single" w:sz="4" w:space="0" w:color="FFC000"/>
            </w:tcBorders>
            <w:shd w:val="clear" w:color="auto" w:fill="auto"/>
            <w:vAlign w:val="center"/>
          </w:tcPr>
          <w:p w14:paraId="1F39DDB8" w14:textId="52F2C751" w:rsidR="005563F0" w:rsidRPr="00B1304D"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(89</w:t>
            </w:r>
            <w:r w:rsidR="00465217">
              <w:rPr>
                <w:rFonts w:eastAsiaTheme="minorEastAsia" w:cs="Calibri"/>
                <w:color w:val="003C96" w:themeColor="text2"/>
                <w:sz w:val="16"/>
                <w:szCs w:val="16"/>
              </w:rPr>
              <w:t>1</w:t>
            </w:r>
            <w:r>
              <w:rPr>
                <w:rFonts w:eastAsiaTheme="minorEastAsia" w:cs="Calibri"/>
                <w:color w:val="003C96" w:themeColor="text2"/>
                <w:sz w:val="16"/>
                <w:szCs w:val="16"/>
                <w:lang w:val="en-US"/>
              </w:rPr>
              <w:t>)</w:t>
            </w:r>
          </w:p>
        </w:tc>
        <w:tc>
          <w:tcPr>
            <w:tcW w:w="465" w:type="pct"/>
            <w:tcBorders>
              <w:left w:val="single" w:sz="4" w:space="0" w:color="FFC000"/>
              <w:right w:val="single" w:sz="4" w:space="0" w:color="FFC000"/>
            </w:tcBorders>
            <w:shd w:val="clear" w:color="auto" w:fill="auto"/>
            <w:vAlign w:val="center"/>
          </w:tcPr>
          <w:p w14:paraId="09FB94CB" w14:textId="77777777" w:rsidR="005563F0" w:rsidRPr="00B1304D"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(963)</w:t>
            </w:r>
          </w:p>
        </w:tc>
        <w:tc>
          <w:tcPr>
            <w:tcW w:w="499" w:type="pct"/>
            <w:tcBorders>
              <w:left w:val="single" w:sz="2" w:space="0" w:color="FFC000"/>
              <w:right w:val="single" w:sz="4" w:space="0" w:color="FFC000"/>
            </w:tcBorders>
            <w:shd w:val="clear" w:color="auto" w:fill="auto"/>
            <w:vAlign w:val="center"/>
          </w:tcPr>
          <w:p w14:paraId="1387E506"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-7%</w:t>
            </w:r>
          </w:p>
        </w:tc>
        <w:tc>
          <w:tcPr>
            <w:tcW w:w="501" w:type="pct"/>
            <w:tcBorders>
              <w:left w:val="single" w:sz="18" w:space="0" w:color="FFC000"/>
              <w:right w:val="single" w:sz="4" w:space="0" w:color="FFC000"/>
            </w:tcBorders>
            <w:shd w:val="clear" w:color="auto" w:fill="auto"/>
            <w:vAlign w:val="center"/>
          </w:tcPr>
          <w:p w14:paraId="5F69D046" w14:textId="01D18CE5" w:rsidR="005563F0" w:rsidRPr="005744FA"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(24</w:t>
            </w:r>
            <w:r w:rsidR="00465217">
              <w:rPr>
                <w:rFonts w:eastAsiaTheme="minorEastAsia" w:cs="Calibri"/>
                <w:color w:val="003C96" w:themeColor="text2"/>
                <w:sz w:val="16"/>
                <w:szCs w:val="16"/>
              </w:rPr>
              <w:t>0</w:t>
            </w:r>
            <w:r>
              <w:rPr>
                <w:rFonts w:eastAsiaTheme="minorEastAsia" w:cs="Calibri"/>
                <w:color w:val="003C96" w:themeColor="text2"/>
                <w:sz w:val="16"/>
                <w:szCs w:val="16"/>
                <w:lang w:val="en-US"/>
              </w:rPr>
              <w:t>)</w:t>
            </w:r>
          </w:p>
        </w:tc>
        <w:tc>
          <w:tcPr>
            <w:tcW w:w="501" w:type="pct"/>
            <w:tcBorders>
              <w:left w:val="single" w:sz="4" w:space="0" w:color="FFC000"/>
              <w:right w:val="single" w:sz="4" w:space="0" w:color="FFC000"/>
            </w:tcBorders>
            <w:shd w:val="clear" w:color="auto" w:fill="auto"/>
            <w:vAlign w:val="center"/>
          </w:tcPr>
          <w:p w14:paraId="7967F700"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(222)</w:t>
            </w:r>
          </w:p>
        </w:tc>
        <w:tc>
          <w:tcPr>
            <w:tcW w:w="572" w:type="pct"/>
            <w:tcBorders>
              <w:left w:val="single" w:sz="4" w:space="0" w:color="FFC000"/>
              <w:right w:val="single" w:sz="4" w:space="0" w:color="FFC000"/>
            </w:tcBorders>
            <w:vAlign w:val="center"/>
          </w:tcPr>
          <w:p w14:paraId="247BB895" w14:textId="77777777" w:rsidR="005563F0" w:rsidRPr="00744269" w:rsidRDefault="00410754"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rPr>
              <w:t>8</w:t>
            </w:r>
            <w:r w:rsidR="005563F0" w:rsidRPr="00644243">
              <w:rPr>
                <w:rFonts w:eastAsiaTheme="minorEastAsia" w:cs="Calibri"/>
                <w:color w:val="003C96" w:themeColor="text2"/>
                <w:sz w:val="16"/>
                <w:szCs w:val="16"/>
                <w:lang w:val="en-US"/>
              </w:rPr>
              <w:t>%</w:t>
            </w:r>
          </w:p>
        </w:tc>
      </w:tr>
      <w:tr w:rsidR="005563F0" w:rsidRPr="005744FA" w14:paraId="63E5C2B3" w14:textId="77777777" w:rsidTr="00BB6F70">
        <w:trPr>
          <w:trHeight w:val="252"/>
        </w:trPr>
        <w:tc>
          <w:tcPr>
            <w:tcW w:w="1998" w:type="pct"/>
            <w:tcBorders>
              <w:left w:val="single" w:sz="4" w:space="0" w:color="FFC000"/>
              <w:right w:val="single" w:sz="4" w:space="0" w:color="FFC000"/>
            </w:tcBorders>
            <w:shd w:val="clear" w:color="auto" w:fill="auto"/>
            <w:tcMar>
              <w:right w:w="113" w:type="dxa"/>
            </w:tcMar>
            <w:vAlign w:val="bottom"/>
          </w:tcPr>
          <w:p w14:paraId="705B7287" w14:textId="77777777" w:rsidR="005563F0" w:rsidRPr="007316DD" w:rsidRDefault="005563F0" w:rsidP="006E3E50">
            <w:pPr>
              <w:tabs>
                <w:tab w:val="left" w:pos="284"/>
              </w:tabs>
              <w:spacing w:after="0"/>
              <w:rPr>
                <w:rFonts w:ascii="Calibri" w:eastAsiaTheme="minorEastAsia" w:hAnsi="Calibri" w:cs="Calibri"/>
                <w:sz w:val="16"/>
                <w:szCs w:val="16"/>
              </w:rPr>
            </w:pPr>
          </w:p>
        </w:tc>
        <w:tc>
          <w:tcPr>
            <w:tcW w:w="465" w:type="pct"/>
            <w:tcBorders>
              <w:left w:val="single" w:sz="4" w:space="0" w:color="FFC000"/>
              <w:right w:val="single" w:sz="4" w:space="0" w:color="FFC000"/>
            </w:tcBorders>
            <w:shd w:val="clear" w:color="auto" w:fill="auto"/>
            <w:vAlign w:val="center"/>
          </w:tcPr>
          <w:p w14:paraId="7F458C84" w14:textId="77777777" w:rsidR="005563F0" w:rsidRDefault="005563F0" w:rsidP="006E3E50">
            <w:pPr>
              <w:tabs>
                <w:tab w:val="left" w:pos="284"/>
              </w:tabs>
              <w:spacing w:after="0"/>
              <w:jc w:val="center"/>
              <w:rPr>
                <w:rFonts w:eastAsiaTheme="minorEastAsia" w:cs="Calibri"/>
                <w:sz w:val="16"/>
                <w:szCs w:val="16"/>
                <w:lang w:val="en-US"/>
              </w:rPr>
            </w:pPr>
          </w:p>
        </w:tc>
        <w:tc>
          <w:tcPr>
            <w:tcW w:w="465" w:type="pct"/>
            <w:tcBorders>
              <w:left w:val="single" w:sz="4" w:space="0" w:color="FFC000"/>
              <w:right w:val="single" w:sz="4" w:space="0" w:color="FFC000"/>
            </w:tcBorders>
            <w:shd w:val="clear" w:color="auto" w:fill="auto"/>
            <w:vAlign w:val="center"/>
          </w:tcPr>
          <w:p w14:paraId="2A2C9E50" w14:textId="77777777" w:rsidR="005563F0" w:rsidRDefault="005563F0" w:rsidP="006E3E50">
            <w:pPr>
              <w:tabs>
                <w:tab w:val="left" w:pos="284"/>
              </w:tabs>
              <w:spacing w:after="0"/>
              <w:jc w:val="right"/>
              <w:rPr>
                <w:rFonts w:eastAsiaTheme="minorEastAsia" w:cs="Calibri"/>
                <w:sz w:val="16"/>
                <w:szCs w:val="16"/>
                <w:lang w:val="en-US"/>
              </w:rPr>
            </w:pPr>
          </w:p>
        </w:tc>
        <w:tc>
          <w:tcPr>
            <w:tcW w:w="499" w:type="pct"/>
            <w:tcBorders>
              <w:left w:val="single" w:sz="2" w:space="0" w:color="FFC000"/>
              <w:right w:val="single" w:sz="4" w:space="0" w:color="FFC000"/>
            </w:tcBorders>
            <w:shd w:val="clear" w:color="auto" w:fill="auto"/>
            <w:vAlign w:val="center"/>
          </w:tcPr>
          <w:p w14:paraId="0CC22E5E" w14:textId="77777777" w:rsidR="005563F0" w:rsidRPr="00744269" w:rsidRDefault="005563F0" w:rsidP="006E3E50">
            <w:pPr>
              <w:tabs>
                <w:tab w:val="left" w:pos="284"/>
              </w:tabs>
              <w:spacing w:after="0"/>
              <w:jc w:val="right"/>
              <w:rPr>
                <w:rFonts w:eastAsiaTheme="minorEastAsia" w:cs="Calibri"/>
                <w:sz w:val="16"/>
                <w:szCs w:val="16"/>
                <w:lang w:val="en-US"/>
              </w:rPr>
            </w:pPr>
          </w:p>
        </w:tc>
        <w:tc>
          <w:tcPr>
            <w:tcW w:w="501" w:type="pct"/>
            <w:tcBorders>
              <w:left w:val="single" w:sz="18" w:space="0" w:color="FFC000"/>
              <w:right w:val="single" w:sz="4" w:space="0" w:color="FFC000"/>
            </w:tcBorders>
            <w:shd w:val="clear" w:color="auto" w:fill="auto"/>
            <w:vAlign w:val="center"/>
          </w:tcPr>
          <w:p w14:paraId="107994AF" w14:textId="77777777" w:rsidR="005563F0" w:rsidRDefault="005563F0" w:rsidP="006E3E50">
            <w:pPr>
              <w:tabs>
                <w:tab w:val="left" w:pos="284"/>
              </w:tabs>
              <w:spacing w:after="0"/>
              <w:jc w:val="right"/>
              <w:rPr>
                <w:rFonts w:eastAsiaTheme="minorEastAsia" w:cs="Calibri"/>
                <w:sz w:val="16"/>
                <w:szCs w:val="16"/>
                <w:lang w:val="en-US"/>
              </w:rPr>
            </w:pPr>
          </w:p>
        </w:tc>
        <w:tc>
          <w:tcPr>
            <w:tcW w:w="501" w:type="pct"/>
            <w:tcBorders>
              <w:left w:val="single" w:sz="4" w:space="0" w:color="FFC000"/>
              <w:right w:val="single" w:sz="4" w:space="0" w:color="FFC000"/>
            </w:tcBorders>
          </w:tcPr>
          <w:p w14:paraId="2349AA75" w14:textId="77777777" w:rsidR="005563F0" w:rsidRPr="00744269" w:rsidRDefault="005563F0" w:rsidP="006E3E50">
            <w:pPr>
              <w:tabs>
                <w:tab w:val="left" w:pos="284"/>
              </w:tabs>
              <w:spacing w:after="0"/>
              <w:jc w:val="right"/>
              <w:rPr>
                <w:rFonts w:eastAsiaTheme="minorEastAsia" w:cs="Calibri"/>
                <w:sz w:val="16"/>
                <w:szCs w:val="16"/>
                <w:lang w:val="en-US"/>
              </w:rPr>
            </w:pPr>
          </w:p>
        </w:tc>
        <w:tc>
          <w:tcPr>
            <w:tcW w:w="572" w:type="pct"/>
            <w:tcBorders>
              <w:left w:val="single" w:sz="4" w:space="0" w:color="FFC000"/>
              <w:right w:val="single" w:sz="4" w:space="0" w:color="FFC000"/>
            </w:tcBorders>
          </w:tcPr>
          <w:p w14:paraId="5C1D1CC6" w14:textId="77777777" w:rsidR="005563F0" w:rsidRPr="00744269" w:rsidRDefault="005563F0" w:rsidP="006E3E50">
            <w:pPr>
              <w:tabs>
                <w:tab w:val="left" w:pos="284"/>
              </w:tabs>
              <w:spacing w:after="0"/>
              <w:jc w:val="right"/>
              <w:rPr>
                <w:rFonts w:eastAsiaTheme="minorEastAsia" w:cs="Calibri"/>
                <w:sz w:val="16"/>
                <w:szCs w:val="16"/>
                <w:lang w:val="en-US"/>
              </w:rPr>
            </w:pPr>
          </w:p>
        </w:tc>
      </w:tr>
      <w:tr w:rsidR="005563F0" w:rsidRPr="005744FA" w14:paraId="7514F2DE" w14:textId="77777777" w:rsidTr="00BB6F70">
        <w:trPr>
          <w:trHeight w:val="252"/>
        </w:trPr>
        <w:tc>
          <w:tcPr>
            <w:tcW w:w="1998" w:type="pct"/>
            <w:tcBorders>
              <w:left w:val="single" w:sz="4" w:space="0" w:color="FFC000"/>
              <w:right w:val="single" w:sz="4" w:space="0" w:color="FFC000"/>
            </w:tcBorders>
            <w:shd w:val="clear" w:color="auto" w:fill="auto"/>
            <w:tcMar>
              <w:right w:w="113" w:type="dxa"/>
            </w:tcMar>
            <w:vAlign w:val="bottom"/>
          </w:tcPr>
          <w:p w14:paraId="006B4704"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Κέρδη Προ Φόρων &amp; Προβλέψεων</w:t>
            </w:r>
          </w:p>
        </w:tc>
        <w:tc>
          <w:tcPr>
            <w:tcW w:w="465" w:type="pct"/>
            <w:tcBorders>
              <w:left w:val="single" w:sz="4" w:space="0" w:color="FFC000"/>
              <w:right w:val="single" w:sz="4" w:space="0" w:color="FFC000"/>
            </w:tcBorders>
            <w:shd w:val="clear" w:color="auto" w:fill="auto"/>
            <w:vAlign w:val="center"/>
          </w:tcPr>
          <w:p w14:paraId="2E900CD7" w14:textId="77777777" w:rsidR="005563F0" w:rsidRPr="007116A1"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809</w:t>
            </w:r>
          </w:p>
        </w:tc>
        <w:tc>
          <w:tcPr>
            <w:tcW w:w="465" w:type="pct"/>
            <w:tcBorders>
              <w:left w:val="single" w:sz="4" w:space="0" w:color="FFC000"/>
              <w:right w:val="single" w:sz="4" w:space="0" w:color="FFC000"/>
            </w:tcBorders>
            <w:shd w:val="clear" w:color="auto" w:fill="auto"/>
            <w:vAlign w:val="center"/>
          </w:tcPr>
          <w:p w14:paraId="67496A46" w14:textId="77777777" w:rsidR="005563F0" w:rsidRPr="007116A1"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1,161</w:t>
            </w:r>
          </w:p>
        </w:tc>
        <w:tc>
          <w:tcPr>
            <w:tcW w:w="499" w:type="pct"/>
            <w:tcBorders>
              <w:left w:val="single" w:sz="2" w:space="0" w:color="FFC000"/>
              <w:right w:val="single" w:sz="4" w:space="0" w:color="FFC000"/>
            </w:tcBorders>
            <w:shd w:val="clear" w:color="auto" w:fill="auto"/>
            <w:vAlign w:val="center"/>
          </w:tcPr>
          <w:p w14:paraId="067EE06E"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-30%</w:t>
            </w:r>
          </w:p>
        </w:tc>
        <w:tc>
          <w:tcPr>
            <w:tcW w:w="501" w:type="pct"/>
            <w:tcBorders>
              <w:left w:val="single" w:sz="18" w:space="0" w:color="FFC000"/>
              <w:right w:val="single" w:sz="4" w:space="0" w:color="FFC000"/>
            </w:tcBorders>
            <w:shd w:val="clear" w:color="auto" w:fill="auto"/>
            <w:vAlign w:val="center"/>
          </w:tcPr>
          <w:p w14:paraId="4C74816D" w14:textId="77777777" w:rsidR="005563F0" w:rsidRPr="007116A1"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77</w:t>
            </w:r>
          </w:p>
        </w:tc>
        <w:tc>
          <w:tcPr>
            <w:tcW w:w="501" w:type="pct"/>
            <w:tcBorders>
              <w:left w:val="single" w:sz="4" w:space="0" w:color="FFC000"/>
              <w:right w:val="single" w:sz="4" w:space="0" w:color="FFC000"/>
            </w:tcBorders>
            <w:shd w:val="clear" w:color="auto" w:fill="auto"/>
            <w:vAlign w:val="center"/>
          </w:tcPr>
          <w:p w14:paraId="2C96058B"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262</w:t>
            </w:r>
          </w:p>
        </w:tc>
        <w:tc>
          <w:tcPr>
            <w:tcW w:w="572" w:type="pct"/>
            <w:tcBorders>
              <w:left w:val="single" w:sz="4" w:space="0" w:color="FFC000"/>
              <w:right w:val="single" w:sz="4" w:space="0" w:color="FFC000"/>
            </w:tcBorders>
            <w:vAlign w:val="center"/>
          </w:tcPr>
          <w:p w14:paraId="125F8243"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-71%</w:t>
            </w:r>
          </w:p>
        </w:tc>
      </w:tr>
      <w:tr w:rsidR="005563F0" w:rsidRPr="005744FA" w14:paraId="700B9814" w14:textId="77777777" w:rsidTr="00BB6F70">
        <w:trPr>
          <w:trHeight w:val="252"/>
        </w:trPr>
        <w:tc>
          <w:tcPr>
            <w:tcW w:w="1998" w:type="pct"/>
            <w:tcBorders>
              <w:left w:val="single" w:sz="4" w:space="0" w:color="FFC000"/>
              <w:right w:val="single" w:sz="4" w:space="0" w:color="FFC000"/>
            </w:tcBorders>
            <w:shd w:val="clear" w:color="auto" w:fill="auto"/>
            <w:tcMar>
              <w:right w:w="113" w:type="dxa"/>
            </w:tcMar>
            <w:vAlign w:val="center"/>
          </w:tcPr>
          <w:p w14:paraId="3FB62722" w14:textId="77777777" w:rsidR="005563F0" w:rsidRPr="00D837BC" w:rsidRDefault="005563F0" w:rsidP="006E3E50">
            <w:pPr>
              <w:tabs>
                <w:tab w:val="left" w:pos="284"/>
              </w:tabs>
              <w:spacing w:after="0"/>
              <w:rPr>
                <w:rFonts w:eastAsiaTheme="minorEastAsia" w:cs="Calibri"/>
                <w:sz w:val="16"/>
                <w:szCs w:val="16"/>
              </w:rPr>
            </w:pPr>
            <w:r w:rsidRPr="007316DD">
              <w:rPr>
                <w:rFonts w:cs="Calibri"/>
                <w:color w:val="003C96" w:themeColor="text2"/>
                <w:sz w:val="16"/>
                <w:szCs w:val="16"/>
              </w:rPr>
              <w:t>- εξαιρουμένων εκτάκτων εσόδων και εξόδων</w:t>
            </w:r>
          </w:p>
        </w:tc>
        <w:tc>
          <w:tcPr>
            <w:tcW w:w="465" w:type="pct"/>
            <w:tcBorders>
              <w:left w:val="single" w:sz="4" w:space="0" w:color="FFC000"/>
              <w:right w:val="single" w:sz="4" w:space="0" w:color="FFC000"/>
            </w:tcBorders>
            <w:shd w:val="clear" w:color="auto" w:fill="auto"/>
            <w:vAlign w:val="center"/>
          </w:tcPr>
          <w:p w14:paraId="4A082030" w14:textId="723854F3" w:rsidR="005563F0" w:rsidRPr="00410754" w:rsidRDefault="00366C06" w:rsidP="006E3E50">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rPr>
              <w:t>1.</w:t>
            </w:r>
            <w:r w:rsidR="00410754">
              <w:rPr>
                <w:rFonts w:eastAsiaTheme="minorEastAsia" w:cs="Calibri"/>
                <w:color w:val="003C96" w:themeColor="text2"/>
                <w:sz w:val="16"/>
                <w:szCs w:val="16"/>
              </w:rPr>
              <w:t>001</w:t>
            </w:r>
          </w:p>
        </w:tc>
        <w:tc>
          <w:tcPr>
            <w:tcW w:w="465" w:type="pct"/>
            <w:tcBorders>
              <w:left w:val="single" w:sz="4" w:space="0" w:color="FFC000"/>
              <w:right w:val="single" w:sz="4" w:space="0" w:color="FFC000"/>
            </w:tcBorders>
            <w:shd w:val="clear" w:color="auto" w:fill="auto"/>
            <w:vAlign w:val="center"/>
          </w:tcPr>
          <w:p w14:paraId="34C7AD4D" w14:textId="77777777" w:rsidR="005563F0" w:rsidRPr="00E73EF8"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860</w:t>
            </w:r>
          </w:p>
        </w:tc>
        <w:tc>
          <w:tcPr>
            <w:tcW w:w="499" w:type="pct"/>
            <w:tcBorders>
              <w:left w:val="single" w:sz="2" w:space="0" w:color="FFC000"/>
              <w:right w:val="single" w:sz="4" w:space="0" w:color="FFC000"/>
            </w:tcBorders>
            <w:shd w:val="clear" w:color="auto" w:fill="auto"/>
            <w:vAlign w:val="center"/>
          </w:tcPr>
          <w:p w14:paraId="6B5030F8" w14:textId="77777777" w:rsidR="005563F0" w:rsidRPr="00744269" w:rsidRDefault="005563F0" w:rsidP="006E3E50">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lang w:val="en-US"/>
              </w:rPr>
              <w:t>16%</w:t>
            </w:r>
          </w:p>
        </w:tc>
        <w:tc>
          <w:tcPr>
            <w:tcW w:w="501" w:type="pct"/>
            <w:tcBorders>
              <w:left w:val="single" w:sz="18" w:space="0" w:color="FFC000"/>
              <w:right w:val="single" w:sz="4" w:space="0" w:color="FFC000"/>
            </w:tcBorders>
            <w:shd w:val="clear" w:color="auto" w:fill="auto"/>
            <w:vAlign w:val="center"/>
          </w:tcPr>
          <w:p w14:paraId="7E739DAA" w14:textId="77777777" w:rsidR="005563F0" w:rsidRPr="00410754" w:rsidRDefault="005563F0" w:rsidP="00410754">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lang w:val="en-US"/>
              </w:rPr>
              <w:t>23</w:t>
            </w:r>
            <w:r w:rsidR="00410754">
              <w:rPr>
                <w:rFonts w:eastAsiaTheme="minorEastAsia" w:cs="Calibri"/>
                <w:color w:val="003C96" w:themeColor="text2"/>
                <w:sz w:val="16"/>
                <w:szCs w:val="16"/>
              </w:rPr>
              <w:t>5</w:t>
            </w:r>
          </w:p>
        </w:tc>
        <w:tc>
          <w:tcPr>
            <w:tcW w:w="501" w:type="pct"/>
            <w:tcBorders>
              <w:left w:val="single" w:sz="4" w:space="0" w:color="FFC000"/>
              <w:right w:val="single" w:sz="4" w:space="0" w:color="FFC000"/>
            </w:tcBorders>
            <w:shd w:val="clear" w:color="auto" w:fill="auto"/>
            <w:vAlign w:val="center"/>
          </w:tcPr>
          <w:p w14:paraId="34748176"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273</w:t>
            </w:r>
          </w:p>
        </w:tc>
        <w:tc>
          <w:tcPr>
            <w:tcW w:w="572" w:type="pct"/>
            <w:tcBorders>
              <w:left w:val="single" w:sz="4" w:space="0" w:color="FFC000"/>
              <w:right w:val="single" w:sz="4" w:space="0" w:color="FFC000"/>
            </w:tcBorders>
            <w:vAlign w:val="center"/>
          </w:tcPr>
          <w:p w14:paraId="74976BB3" w14:textId="77777777" w:rsidR="005563F0" w:rsidRPr="00744269" w:rsidRDefault="005563F0" w:rsidP="00410754">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-1</w:t>
            </w:r>
            <w:r w:rsidR="00410754">
              <w:rPr>
                <w:rFonts w:eastAsiaTheme="minorEastAsia" w:cs="Calibri"/>
                <w:color w:val="003C96" w:themeColor="text2"/>
                <w:sz w:val="16"/>
                <w:szCs w:val="16"/>
              </w:rPr>
              <w:t>4</w:t>
            </w:r>
            <w:r>
              <w:rPr>
                <w:rFonts w:eastAsiaTheme="minorEastAsia" w:cs="Calibri"/>
                <w:color w:val="003C96" w:themeColor="text2"/>
                <w:sz w:val="16"/>
                <w:szCs w:val="16"/>
                <w:lang w:val="en-US"/>
              </w:rPr>
              <w:t>%</w:t>
            </w:r>
          </w:p>
        </w:tc>
      </w:tr>
      <w:tr w:rsidR="005563F0" w:rsidRPr="005744FA" w14:paraId="39D97617" w14:textId="77777777" w:rsidTr="00BB6F70">
        <w:trPr>
          <w:trHeight w:val="87"/>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07D62065" w14:textId="77777777" w:rsidR="005563F0" w:rsidRPr="005744FA" w:rsidRDefault="005563F0" w:rsidP="006E3E50">
            <w:pPr>
              <w:tabs>
                <w:tab w:val="left" w:pos="284"/>
              </w:tabs>
              <w:spacing w:after="0"/>
              <w:rPr>
                <w:rFonts w:eastAsiaTheme="minorEastAsia" w:cs="Calibri"/>
                <w:sz w:val="10"/>
                <w:szCs w:val="16"/>
                <w:lang w:val="en-US"/>
              </w:rPr>
            </w:pPr>
          </w:p>
        </w:tc>
        <w:tc>
          <w:tcPr>
            <w:tcW w:w="465" w:type="pct"/>
            <w:tcBorders>
              <w:left w:val="single" w:sz="4" w:space="0" w:color="FFC000"/>
              <w:right w:val="single" w:sz="4" w:space="0" w:color="FFC000"/>
            </w:tcBorders>
            <w:shd w:val="clear" w:color="auto" w:fill="FFFFFF" w:themeFill="background1"/>
            <w:vAlign w:val="center"/>
          </w:tcPr>
          <w:p w14:paraId="3CA5702C" w14:textId="77777777" w:rsidR="005563F0" w:rsidRPr="006C7864" w:rsidRDefault="005563F0" w:rsidP="006E3E50">
            <w:pPr>
              <w:tabs>
                <w:tab w:val="left" w:pos="284"/>
              </w:tabs>
              <w:spacing w:after="0"/>
              <w:jc w:val="right"/>
              <w:rPr>
                <w:rFonts w:eastAsiaTheme="minorEastAsia" w:cs="Calibri"/>
                <w:color w:val="FF0000"/>
                <w:sz w:val="10"/>
                <w:szCs w:val="16"/>
                <w:highlight w:val="green"/>
                <w:lang w:val="en-US"/>
              </w:rPr>
            </w:pPr>
          </w:p>
        </w:tc>
        <w:tc>
          <w:tcPr>
            <w:tcW w:w="465" w:type="pct"/>
            <w:tcBorders>
              <w:left w:val="single" w:sz="4" w:space="0" w:color="FFC000"/>
              <w:right w:val="single" w:sz="4" w:space="0" w:color="FFC000"/>
            </w:tcBorders>
            <w:shd w:val="clear" w:color="auto" w:fill="FFFFFF" w:themeFill="background1"/>
            <w:vAlign w:val="center"/>
          </w:tcPr>
          <w:p w14:paraId="31CD2BA4" w14:textId="77777777" w:rsidR="005563F0" w:rsidRPr="006C7864" w:rsidRDefault="005563F0" w:rsidP="006E3E50">
            <w:pPr>
              <w:tabs>
                <w:tab w:val="left" w:pos="284"/>
              </w:tabs>
              <w:spacing w:after="0"/>
              <w:jc w:val="right"/>
              <w:rPr>
                <w:rFonts w:eastAsiaTheme="minorEastAsia" w:cs="Calibri"/>
                <w:color w:val="FF0000"/>
                <w:sz w:val="10"/>
                <w:szCs w:val="16"/>
                <w:highlight w:val="green"/>
                <w:lang w:val="en-US"/>
              </w:rPr>
            </w:pPr>
          </w:p>
        </w:tc>
        <w:tc>
          <w:tcPr>
            <w:tcW w:w="499" w:type="pct"/>
            <w:tcBorders>
              <w:left w:val="single" w:sz="2" w:space="0" w:color="FFC000"/>
              <w:right w:val="single" w:sz="4" w:space="0" w:color="FFC000"/>
            </w:tcBorders>
            <w:shd w:val="clear" w:color="auto" w:fill="FFFFFF" w:themeFill="background1"/>
            <w:vAlign w:val="center"/>
          </w:tcPr>
          <w:p w14:paraId="270FFC62" w14:textId="77777777" w:rsidR="005563F0" w:rsidRPr="006C7864" w:rsidRDefault="005563F0" w:rsidP="006E3E50">
            <w:pPr>
              <w:tabs>
                <w:tab w:val="left" w:pos="284"/>
              </w:tabs>
              <w:spacing w:after="0"/>
              <w:jc w:val="right"/>
              <w:rPr>
                <w:rFonts w:eastAsiaTheme="minorEastAsia" w:cs="Calibri"/>
                <w:color w:val="FF0000"/>
                <w:sz w:val="10"/>
                <w:szCs w:val="16"/>
                <w:lang w:val="en-US"/>
              </w:rPr>
            </w:pPr>
          </w:p>
        </w:tc>
        <w:tc>
          <w:tcPr>
            <w:tcW w:w="501" w:type="pct"/>
            <w:tcBorders>
              <w:left w:val="single" w:sz="18" w:space="0" w:color="FFC000"/>
              <w:right w:val="single" w:sz="4" w:space="0" w:color="FFC000"/>
            </w:tcBorders>
            <w:shd w:val="clear" w:color="auto" w:fill="FFFFFF" w:themeFill="background1"/>
            <w:vAlign w:val="center"/>
          </w:tcPr>
          <w:p w14:paraId="2B521238" w14:textId="77777777" w:rsidR="005563F0" w:rsidRPr="006C7864" w:rsidRDefault="005563F0" w:rsidP="006E3E50">
            <w:pPr>
              <w:tabs>
                <w:tab w:val="left" w:pos="284"/>
              </w:tabs>
              <w:spacing w:after="0"/>
              <w:jc w:val="right"/>
              <w:rPr>
                <w:rFonts w:eastAsiaTheme="minorEastAsia" w:cs="Calibri"/>
                <w:color w:val="FF0000"/>
                <w:sz w:val="10"/>
                <w:szCs w:val="16"/>
                <w:lang w:val="en-US"/>
              </w:rPr>
            </w:pPr>
          </w:p>
        </w:tc>
        <w:tc>
          <w:tcPr>
            <w:tcW w:w="501" w:type="pct"/>
            <w:tcBorders>
              <w:left w:val="single" w:sz="4" w:space="0" w:color="FFC000"/>
              <w:right w:val="single" w:sz="4" w:space="0" w:color="FFC000"/>
            </w:tcBorders>
            <w:shd w:val="clear" w:color="auto" w:fill="FFFFFF" w:themeFill="background1"/>
            <w:vAlign w:val="center"/>
          </w:tcPr>
          <w:p w14:paraId="0691C74A" w14:textId="77777777" w:rsidR="005563F0" w:rsidRPr="00744269" w:rsidRDefault="005563F0" w:rsidP="006E3E50">
            <w:pPr>
              <w:tabs>
                <w:tab w:val="left" w:pos="284"/>
              </w:tabs>
              <w:spacing w:after="0"/>
              <w:jc w:val="right"/>
              <w:rPr>
                <w:rFonts w:eastAsiaTheme="minorEastAsia" w:cs="Calibri"/>
                <w:color w:val="FF0000"/>
                <w:sz w:val="10"/>
                <w:szCs w:val="16"/>
                <w:lang w:val="en-US"/>
              </w:rPr>
            </w:pPr>
          </w:p>
        </w:tc>
        <w:tc>
          <w:tcPr>
            <w:tcW w:w="572" w:type="pct"/>
            <w:tcBorders>
              <w:left w:val="single" w:sz="4" w:space="0" w:color="FFC000"/>
              <w:right w:val="single" w:sz="4" w:space="0" w:color="FFC000"/>
            </w:tcBorders>
            <w:shd w:val="clear" w:color="auto" w:fill="FFFFFF" w:themeFill="background1"/>
            <w:vAlign w:val="center"/>
          </w:tcPr>
          <w:p w14:paraId="2197064D" w14:textId="77777777" w:rsidR="005563F0" w:rsidRPr="00744269" w:rsidRDefault="005563F0" w:rsidP="006E3E50">
            <w:pPr>
              <w:tabs>
                <w:tab w:val="left" w:pos="284"/>
              </w:tabs>
              <w:spacing w:after="0"/>
              <w:jc w:val="right"/>
              <w:rPr>
                <w:rFonts w:eastAsiaTheme="minorEastAsia" w:cs="Calibri"/>
                <w:color w:val="FF0000"/>
                <w:sz w:val="10"/>
                <w:szCs w:val="16"/>
                <w:lang w:val="en-US"/>
              </w:rPr>
            </w:pPr>
          </w:p>
        </w:tc>
      </w:tr>
      <w:tr w:rsidR="005563F0" w:rsidRPr="005744FA" w14:paraId="0DF5B6EA"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66941A15" w14:textId="77777777" w:rsidR="005563F0" w:rsidRPr="005744FA" w:rsidRDefault="005563F0" w:rsidP="006E3E50">
            <w:pPr>
              <w:tabs>
                <w:tab w:val="left" w:pos="284"/>
              </w:tabs>
              <w:spacing w:after="0"/>
              <w:rPr>
                <w:rFonts w:eastAsiaTheme="minorEastAsia" w:cs="Calibri"/>
                <w:sz w:val="16"/>
                <w:szCs w:val="16"/>
                <w:lang w:val="en-US"/>
              </w:rPr>
            </w:pPr>
            <w:r>
              <w:rPr>
                <w:rFonts w:ascii="Calibri" w:eastAsiaTheme="minorEastAsia" w:hAnsi="Calibri" w:cs="Calibri"/>
                <w:sz w:val="16"/>
                <w:szCs w:val="16"/>
              </w:rPr>
              <w:t>Έξοδο Προβλέψεων</w:t>
            </w:r>
          </w:p>
        </w:tc>
        <w:tc>
          <w:tcPr>
            <w:tcW w:w="465" w:type="pct"/>
            <w:tcBorders>
              <w:left w:val="single" w:sz="4" w:space="0" w:color="FFC000"/>
              <w:right w:val="single" w:sz="4" w:space="0" w:color="FFC000"/>
            </w:tcBorders>
            <w:shd w:val="clear" w:color="auto" w:fill="FFFFFF" w:themeFill="background1"/>
            <w:vAlign w:val="center"/>
          </w:tcPr>
          <w:p w14:paraId="5AB98DA4" w14:textId="2BEE469A" w:rsidR="005563F0" w:rsidRPr="008A08D2" w:rsidRDefault="00366C06"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w:t>
            </w:r>
            <w:r w:rsidR="005563F0">
              <w:rPr>
                <w:rFonts w:eastAsiaTheme="minorEastAsia" w:cs="Calibri"/>
                <w:sz w:val="16"/>
                <w:szCs w:val="16"/>
                <w:lang w:val="en-US"/>
              </w:rPr>
              <w:t>322)</w:t>
            </w:r>
          </w:p>
        </w:tc>
        <w:tc>
          <w:tcPr>
            <w:tcW w:w="465" w:type="pct"/>
            <w:tcBorders>
              <w:left w:val="single" w:sz="4" w:space="0" w:color="FFC000"/>
              <w:right w:val="single" w:sz="4" w:space="0" w:color="FFC000"/>
            </w:tcBorders>
            <w:shd w:val="clear" w:color="auto" w:fill="FFFFFF" w:themeFill="background1"/>
            <w:vAlign w:val="center"/>
          </w:tcPr>
          <w:p w14:paraId="1B7BA9A4" w14:textId="77777777" w:rsidR="005563F0" w:rsidRPr="008A08D2"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(778)</w:t>
            </w:r>
          </w:p>
        </w:tc>
        <w:tc>
          <w:tcPr>
            <w:tcW w:w="499" w:type="pct"/>
            <w:tcBorders>
              <w:left w:val="single" w:sz="2" w:space="0" w:color="FFC000"/>
              <w:right w:val="single" w:sz="4" w:space="0" w:color="FFC000"/>
            </w:tcBorders>
            <w:shd w:val="clear" w:color="auto" w:fill="FFFFFF" w:themeFill="background1"/>
            <w:vAlign w:val="center"/>
          </w:tcPr>
          <w:p w14:paraId="7227C2FB" w14:textId="77777777" w:rsidR="005563F0" w:rsidRPr="008A08D2"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70%</w:t>
            </w:r>
          </w:p>
        </w:tc>
        <w:tc>
          <w:tcPr>
            <w:tcW w:w="501" w:type="pct"/>
            <w:tcBorders>
              <w:left w:val="single" w:sz="18" w:space="0" w:color="FFC000"/>
              <w:right w:val="single" w:sz="4" w:space="0" w:color="FFC000"/>
            </w:tcBorders>
            <w:shd w:val="clear" w:color="auto" w:fill="FFFFFF" w:themeFill="background1"/>
            <w:vAlign w:val="center"/>
          </w:tcPr>
          <w:p w14:paraId="7A6FFF2E" w14:textId="77777777" w:rsidR="005563F0" w:rsidRPr="00AE3C09" w:rsidRDefault="005563F0" w:rsidP="006E3E50">
            <w:pPr>
              <w:tabs>
                <w:tab w:val="left" w:pos="284"/>
              </w:tabs>
              <w:spacing w:after="0"/>
              <w:jc w:val="right"/>
              <w:rPr>
                <w:rFonts w:eastAsiaTheme="minorEastAsia" w:cs="Calibri"/>
                <w:sz w:val="16"/>
                <w:szCs w:val="16"/>
                <w:vertAlign w:val="superscript"/>
                <w:lang w:val="en-US"/>
              </w:rPr>
            </w:pPr>
            <w:r>
              <w:rPr>
                <w:rFonts w:eastAsiaTheme="minorEastAsia" w:cs="Calibri"/>
                <w:sz w:val="16"/>
                <w:szCs w:val="16"/>
                <w:lang w:val="en-US"/>
              </w:rPr>
              <w:t>(477)</w:t>
            </w:r>
          </w:p>
        </w:tc>
        <w:tc>
          <w:tcPr>
            <w:tcW w:w="501" w:type="pct"/>
            <w:tcBorders>
              <w:left w:val="single" w:sz="4" w:space="0" w:color="FFC000"/>
              <w:right w:val="single" w:sz="4" w:space="0" w:color="FFC000"/>
            </w:tcBorders>
            <w:shd w:val="clear" w:color="auto" w:fill="FFFFFF" w:themeFill="background1"/>
            <w:vAlign w:val="center"/>
          </w:tcPr>
          <w:p w14:paraId="359D8C69"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(176)</w:t>
            </w:r>
          </w:p>
        </w:tc>
        <w:tc>
          <w:tcPr>
            <w:tcW w:w="572" w:type="pct"/>
            <w:tcBorders>
              <w:left w:val="single" w:sz="4" w:space="0" w:color="FFC000"/>
              <w:right w:val="single" w:sz="4" w:space="0" w:color="FFC000"/>
            </w:tcBorders>
            <w:shd w:val="clear" w:color="auto" w:fill="FFFFFF" w:themeFill="background1"/>
            <w:vAlign w:val="center"/>
          </w:tcPr>
          <w:p w14:paraId="782065FE"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&gt;100%</w:t>
            </w:r>
          </w:p>
        </w:tc>
      </w:tr>
      <w:tr w:rsidR="005563F0" w:rsidRPr="005744FA" w14:paraId="453CEA3F" w14:textId="77777777" w:rsidTr="00BB6F70">
        <w:trPr>
          <w:trHeight w:val="224"/>
        </w:trPr>
        <w:tc>
          <w:tcPr>
            <w:tcW w:w="1998" w:type="pct"/>
            <w:tcBorders>
              <w:left w:val="single" w:sz="4" w:space="0" w:color="FFC000"/>
              <w:right w:val="single" w:sz="4" w:space="0" w:color="FFC000"/>
            </w:tcBorders>
            <w:shd w:val="clear" w:color="auto" w:fill="FFFFFF" w:themeFill="background1"/>
            <w:tcMar>
              <w:right w:w="113" w:type="dxa"/>
            </w:tcMar>
          </w:tcPr>
          <w:p w14:paraId="2676E961" w14:textId="77777777" w:rsidR="005563F0" w:rsidRPr="00D837BC" w:rsidRDefault="005563F0" w:rsidP="006E3E50">
            <w:pPr>
              <w:tabs>
                <w:tab w:val="left" w:pos="284"/>
              </w:tabs>
              <w:spacing w:after="0"/>
              <w:rPr>
                <w:rFonts w:cs="Calibri"/>
                <w:sz w:val="16"/>
                <w:szCs w:val="16"/>
              </w:rPr>
            </w:pPr>
            <w:r w:rsidRPr="00D837BC">
              <w:rPr>
                <w:rFonts w:cs="Calibri"/>
                <w:color w:val="003C96" w:themeColor="text2"/>
                <w:sz w:val="16"/>
                <w:szCs w:val="16"/>
              </w:rPr>
              <w:t>-</w:t>
            </w:r>
            <w:r>
              <w:t xml:space="preserve"> </w:t>
            </w:r>
            <w:r>
              <w:rPr>
                <w:rFonts w:cs="Calibri"/>
                <w:color w:val="003C96" w:themeColor="text2"/>
                <w:sz w:val="16"/>
                <w:szCs w:val="16"/>
              </w:rPr>
              <w:t>εκ των οποίων έκτακτες προβλέψεις</w:t>
            </w:r>
          </w:p>
        </w:tc>
        <w:tc>
          <w:tcPr>
            <w:tcW w:w="465" w:type="pct"/>
            <w:tcBorders>
              <w:left w:val="single" w:sz="4" w:space="0" w:color="FFC000"/>
              <w:right w:val="single" w:sz="4" w:space="0" w:color="FFC000"/>
            </w:tcBorders>
            <w:shd w:val="clear" w:color="auto" w:fill="FFFFFF" w:themeFill="background1"/>
          </w:tcPr>
          <w:p w14:paraId="3AE3F4D2" w14:textId="77777777" w:rsidR="005563F0" w:rsidRPr="008A08D2" w:rsidRDefault="005563F0" w:rsidP="00410754">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w:t>
            </w:r>
            <w:r w:rsidR="00410754">
              <w:rPr>
                <w:rFonts w:eastAsiaTheme="minorEastAsia" w:cs="Calibri"/>
                <w:color w:val="003C96" w:themeColor="text2"/>
                <w:sz w:val="16"/>
                <w:szCs w:val="16"/>
              </w:rPr>
              <w:t>695</w:t>
            </w:r>
            <w:r>
              <w:rPr>
                <w:rFonts w:eastAsiaTheme="minorEastAsia" w:cs="Calibri"/>
                <w:color w:val="003C96" w:themeColor="text2"/>
                <w:sz w:val="16"/>
                <w:szCs w:val="16"/>
                <w:lang w:val="en-US"/>
              </w:rPr>
              <w:t>)</w:t>
            </w:r>
          </w:p>
        </w:tc>
        <w:tc>
          <w:tcPr>
            <w:tcW w:w="465" w:type="pct"/>
            <w:tcBorders>
              <w:left w:val="single" w:sz="4" w:space="0" w:color="FFC000"/>
              <w:right w:val="single" w:sz="4" w:space="0" w:color="FFC000"/>
            </w:tcBorders>
            <w:shd w:val="clear" w:color="auto" w:fill="FFFFFF" w:themeFill="background1"/>
          </w:tcPr>
          <w:p w14:paraId="5633FA2C" w14:textId="77777777" w:rsidR="005563F0" w:rsidRPr="008A08D2"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0</w:t>
            </w:r>
          </w:p>
        </w:tc>
        <w:tc>
          <w:tcPr>
            <w:tcW w:w="499" w:type="pct"/>
            <w:tcBorders>
              <w:left w:val="single" w:sz="2" w:space="0" w:color="FFC000"/>
              <w:right w:val="single" w:sz="4" w:space="0" w:color="FFC000"/>
            </w:tcBorders>
            <w:shd w:val="clear" w:color="auto" w:fill="FFFFFF" w:themeFill="background1"/>
          </w:tcPr>
          <w:p w14:paraId="23115AAE" w14:textId="77777777" w:rsidR="005563F0" w:rsidRPr="008A08D2"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n/a</w:t>
            </w:r>
          </w:p>
        </w:tc>
        <w:tc>
          <w:tcPr>
            <w:tcW w:w="501" w:type="pct"/>
            <w:tcBorders>
              <w:left w:val="single" w:sz="18" w:space="0" w:color="FFC000"/>
              <w:right w:val="single" w:sz="4" w:space="0" w:color="FFC000"/>
            </w:tcBorders>
            <w:shd w:val="clear" w:color="auto" w:fill="FFFFFF" w:themeFill="background1"/>
          </w:tcPr>
          <w:p w14:paraId="6BD07FE1" w14:textId="729FDAEC" w:rsidR="005563F0" w:rsidRPr="008A08D2"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w:t>
            </w:r>
            <w:r w:rsidR="00465217">
              <w:rPr>
                <w:rFonts w:eastAsiaTheme="minorEastAsia" w:cs="Calibri"/>
                <w:color w:val="003C96" w:themeColor="text2"/>
                <w:sz w:val="16"/>
                <w:szCs w:val="16"/>
              </w:rPr>
              <w:t>277</w:t>
            </w:r>
            <w:r>
              <w:rPr>
                <w:rFonts w:eastAsiaTheme="minorEastAsia" w:cs="Calibri"/>
                <w:color w:val="003C96" w:themeColor="text2"/>
                <w:sz w:val="16"/>
                <w:szCs w:val="16"/>
                <w:lang w:val="en-US"/>
              </w:rPr>
              <w:t>)</w:t>
            </w:r>
          </w:p>
        </w:tc>
        <w:tc>
          <w:tcPr>
            <w:tcW w:w="501" w:type="pct"/>
            <w:tcBorders>
              <w:left w:val="single" w:sz="4" w:space="0" w:color="FFC000"/>
              <w:right w:val="single" w:sz="4" w:space="0" w:color="FFC000"/>
            </w:tcBorders>
            <w:shd w:val="clear" w:color="auto" w:fill="FFFFFF" w:themeFill="background1"/>
          </w:tcPr>
          <w:p w14:paraId="38C6BD32" w14:textId="4F3647B3"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(2</w:t>
            </w:r>
            <w:r w:rsidR="00465217">
              <w:rPr>
                <w:rFonts w:eastAsiaTheme="minorEastAsia" w:cs="Calibri"/>
                <w:color w:val="003C96" w:themeColor="text2"/>
                <w:sz w:val="16"/>
                <w:szCs w:val="16"/>
              </w:rPr>
              <w:t>6</w:t>
            </w:r>
            <w:r>
              <w:rPr>
                <w:rFonts w:eastAsiaTheme="minorEastAsia" w:cs="Calibri"/>
                <w:color w:val="003C96" w:themeColor="text2"/>
                <w:sz w:val="16"/>
                <w:szCs w:val="16"/>
                <w:lang w:val="en-US"/>
              </w:rPr>
              <w:t>)</w:t>
            </w:r>
          </w:p>
        </w:tc>
        <w:tc>
          <w:tcPr>
            <w:tcW w:w="572" w:type="pct"/>
            <w:tcBorders>
              <w:left w:val="single" w:sz="4" w:space="0" w:color="FFC000"/>
              <w:right w:val="single" w:sz="4" w:space="0" w:color="FFC000"/>
            </w:tcBorders>
            <w:shd w:val="clear" w:color="auto" w:fill="FFFFFF" w:themeFill="background1"/>
          </w:tcPr>
          <w:p w14:paraId="3B54F4B7"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&gt;100%</w:t>
            </w:r>
          </w:p>
        </w:tc>
      </w:tr>
      <w:tr w:rsidR="005563F0" w:rsidRPr="005744FA" w14:paraId="2B347A93"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4CF33D97" w14:textId="77777777" w:rsidR="005563F0" w:rsidRPr="005744FA" w:rsidRDefault="005563F0" w:rsidP="006E3E50">
            <w:pPr>
              <w:tabs>
                <w:tab w:val="left" w:pos="284"/>
              </w:tabs>
              <w:spacing w:after="0"/>
              <w:rPr>
                <w:rFonts w:eastAsiaTheme="minorEastAsia" w:cs="Calibri"/>
                <w:sz w:val="16"/>
                <w:szCs w:val="16"/>
                <w:lang w:val="en-US"/>
              </w:rPr>
            </w:pPr>
            <w:r w:rsidRPr="007316DD">
              <w:rPr>
                <w:rFonts w:ascii="Calibri" w:eastAsiaTheme="minorEastAsia" w:hAnsi="Calibri" w:cs="Calibri"/>
                <w:sz w:val="16"/>
                <w:szCs w:val="16"/>
              </w:rPr>
              <w:t>Έσοδα Συμμετοχών σε Συγγενείς</w:t>
            </w:r>
          </w:p>
        </w:tc>
        <w:tc>
          <w:tcPr>
            <w:tcW w:w="465" w:type="pct"/>
            <w:tcBorders>
              <w:left w:val="single" w:sz="4" w:space="0" w:color="FFC000"/>
              <w:right w:val="single" w:sz="4" w:space="0" w:color="FFC000"/>
            </w:tcBorders>
            <w:shd w:val="clear" w:color="auto" w:fill="FFFFFF" w:themeFill="background1"/>
            <w:vAlign w:val="center"/>
          </w:tcPr>
          <w:p w14:paraId="2A8EA75E" w14:textId="77777777" w:rsidR="005563F0" w:rsidRPr="007F25CC"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(16)</w:t>
            </w:r>
          </w:p>
        </w:tc>
        <w:tc>
          <w:tcPr>
            <w:tcW w:w="465" w:type="pct"/>
            <w:tcBorders>
              <w:left w:val="single" w:sz="4" w:space="0" w:color="FFC000"/>
              <w:right w:val="single" w:sz="4" w:space="0" w:color="FFC000"/>
            </w:tcBorders>
            <w:shd w:val="clear" w:color="auto" w:fill="FFFFFF" w:themeFill="background1"/>
            <w:vAlign w:val="center"/>
          </w:tcPr>
          <w:p w14:paraId="3DB78F00"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5</w:t>
            </w:r>
          </w:p>
        </w:tc>
        <w:tc>
          <w:tcPr>
            <w:tcW w:w="499" w:type="pct"/>
            <w:tcBorders>
              <w:left w:val="single" w:sz="2" w:space="0" w:color="FFC000"/>
              <w:right w:val="single" w:sz="4" w:space="0" w:color="FFC000"/>
            </w:tcBorders>
            <w:shd w:val="clear" w:color="auto" w:fill="FFFFFF" w:themeFill="background1"/>
            <w:vAlign w:val="center"/>
          </w:tcPr>
          <w:p w14:paraId="45F5C246" w14:textId="77777777" w:rsidR="005563F0" w:rsidRPr="007F0F77"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c>
          <w:tcPr>
            <w:tcW w:w="501" w:type="pct"/>
            <w:tcBorders>
              <w:left w:val="single" w:sz="18" w:space="0" w:color="FFC000"/>
              <w:right w:val="single" w:sz="4" w:space="0" w:color="FFC000"/>
            </w:tcBorders>
            <w:shd w:val="clear" w:color="auto" w:fill="FFFFFF" w:themeFill="background1"/>
            <w:vAlign w:val="center"/>
          </w:tcPr>
          <w:p w14:paraId="002AD804" w14:textId="77777777" w:rsidR="005563F0" w:rsidRPr="007F0F77"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3</w:t>
            </w:r>
          </w:p>
        </w:tc>
        <w:tc>
          <w:tcPr>
            <w:tcW w:w="501" w:type="pct"/>
            <w:tcBorders>
              <w:left w:val="single" w:sz="4" w:space="0" w:color="FFC000"/>
              <w:right w:val="single" w:sz="4" w:space="0" w:color="FFC000"/>
            </w:tcBorders>
            <w:shd w:val="clear" w:color="auto" w:fill="FFFFFF" w:themeFill="background1"/>
            <w:vAlign w:val="center"/>
          </w:tcPr>
          <w:p w14:paraId="06ADCA1A"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w:t>
            </w:r>
          </w:p>
        </w:tc>
        <w:tc>
          <w:tcPr>
            <w:tcW w:w="572" w:type="pct"/>
            <w:tcBorders>
              <w:left w:val="single" w:sz="4" w:space="0" w:color="FFC000"/>
              <w:right w:val="single" w:sz="4" w:space="0" w:color="FFC000"/>
            </w:tcBorders>
            <w:shd w:val="clear" w:color="auto" w:fill="FFFFFF" w:themeFill="background1"/>
            <w:vAlign w:val="center"/>
          </w:tcPr>
          <w:p w14:paraId="542F0736"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r>
      <w:tr w:rsidR="005563F0" w:rsidRPr="005744FA" w14:paraId="691173E5" w14:textId="77777777" w:rsidTr="00BB6F70">
        <w:trPr>
          <w:trHeight w:val="122"/>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174F2D66" w14:textId="77777777" w:rsidR="005563F0" w:rsidRPr="005744FA" w:rsidRDefault="005563F0" w:rsidP="006E3E50">
            <w:pPr>
              <w:tabs>
                <w:tab w:val="left" w:pos="284"/>
              </w:tabs>
              <w:spacing w:after="0"/>
              <w:rPr>
                <w:rFonts w:eastAsiaTheme="minorEastAsia" w:cs="Calibri"/>
                <w:sz w:val="4"/>
                <w:szCs w:val="4"/>
              </w:rPr>
            </w:pPr>
          </w:p>
        </w:tc>
        <w:tc>
          <w:tcPr>
            <w:tcW w:w="465" w:type="pct"/>
            <w:tcBorders>
              <w:left w:val="single" w:sz="4" w:space="0" w:color="FFC000"/>
              <w:right w:val="single" w:sz="4" w:space="0" w:color="FFC000"/>
            </w:tcBorders>
            <w:shd w:val="clear" w:color="auto" w:fill="FFFFFF" w:themeFill="background1"/>
            <w:vAlign w:val="center"/>
          </w:tcPr>
          <w:p w14:paraId="538D6D48" w14:textId="77777777" w:rsidR="005563F0" w:rsidRPr="006C7864" w:rsidDel="005B246A" w:rsidRDefault="005563F0" w:rsidP="006E3E50">
            <w:pPr>
              <w:tabs>
                <w:tab w:val="left" w:pos="284"/>
              </w:tabs>
              <w:spacing w:after="0"/>
              <w:jc w:val="right"/>
              <w:rPr>
                <w:rFonts w:eastAsiaTheme="minorEastAsia" w:cs="Calibri"/>
                <w:color w:val="FF0000"/>
                <w:sz w:val="4"/>
                <w:szCs w:val="4"/>
                <w:highlight w:val="green"/>
              </w:rPr>
            </w:pPr>
          </w:p>
        </w:tc>
        <w:tc>
          <w:tcPr>
            <w:tcW w:w="465" w:type="pct"/>
            <w:tcBorders>
              <w:left w:val="single" w:sz="4" w:space="0" w:color="FFC000"/>
              <w:right w:val="single" w:sz="4" w:space="0" w:color="FFC000"/>
            </w:tcBorders>
            <w:shd w:val="clear" w:color="auto" w:fill="FFFFFF" w:themeFill="background1"/>
            <w:vAlign w:val="center"/>
          </w:tcPr>
          <w:p w14:paraId="73A64B14" w14:textId="77777777" w:rsidR="005563F0" w:rsidRPr="006C7864" w:rsidDel="005B246A" w:rsidRDefault="005563F0" w:rsidP="006E3E50">
            <w:pPr>
              <w:tabs>
                <w:tab w:val="left" w:pos="284"/>
              </w:tabs>
              <w:spacing w:after="0"/>
              <w:jc w:val="right"/>
              <w:rPr>
                <w:rFonts w:eastAsiaTheme="minorEastAsia" w:cs="Calibri"/>
                <w:color w:val="FF0000"/>
                <w:sz w:val="4"/>
                <w:szCs w:val="4"/>
                <w:highlight w:val="green"/>
              </w:rPr>
            </w:pPr>
          </w:p>
        </w:tc>
        <w:tc>
          <w:tcPr>
            <w:tcW w:w="499" w:type="pct"/>
            <w:tcBorders>
              <w:left w:val="single" w:sz="2" w:space="0" w:color="FFC000"/>
              <w:right w:val="single" w:sz="4" w:space="0" w:color="FFC000"/>
            </w:tcBorders>
            <w:shd w:val="clear" w:color="auto" w:fill="FFFFFF" w:themeFill="background1"/>
            <w:vAlign w:val="center"/>
          </w:tcPr>
          <w:p w14:paraId="4D9B3BFF" w14:textId="77777777" w:rsidR="005563F0" w:rsidRPr="006C7864" w:rsidDel="005B246A" w:rsidRDefault="005563F0" w:rsidP="006E3E50">
            <w:pPr>
              <w:tabs>
                <w:tab w:val="left" w:pos="284"/>
              </w:tabs>
              <w:spacing w:after="0"/>
              <w:jc w:val="right"/>
              <w:rPr>
                <w:rFonts w:eastAsiaTheme="minorEastAsia" w:cs="Calibri"/>
                <w:color w:val="FF0000"/>
                <w:sz w:val="4"/>
                <w:szCs w:val="4"/>
              </w:rPr>
            </w:pPr>
          </w:p>
        </w:tc>
        <w:tc>
          <w:tcPr>
            <w:tcW w:w="501" w:type="pct"/>
            <w:tcBorders>
              <w:left w:val="single" w:sz="18" w:space="0" w:color="FFC000"/>
              <w:right w:val="single" w:sz="4" w:space="0" w:color="FFC000"/>
            </w:tcBorders>
            <w:shd w:val="clear" w:color="auto" w:fill="FFFFFF" w:themeFill="background1"/>
            <w:vAlign w:val="center"/>
          </w:tcPr>
          <w:p w14:paraId="575977AF" w14:textId="77777777" w:rsidR="005563F0" w:rsidRPr="006C7864" w:rsidDel="005B246A" w:rsidRDefault="005563F0" w:rsidP="006E3E50">
            <w:pPr>
              <w:tabs>
                <w:tab w:val="left" w:pos="284"/>
              </w:tabs>
              <w:spacing w:after="0"/>
              <w:jc w:val="right"/>
              <w:rPr>
                <w:rFonts w:eastAsiaTheme="minorEastAsia" w:cs="Calibri"/>
                <w:color w:val="FF0000"/>
                <w:sz w:val="4"/>
                <w:szCs w:val="4"/>
              </w:rPr>
            </w:pPr>
          </w:p>
        </w:tc>
        <w:tc>
          <w:tcPr>
            <w:tcW w:w="501" w:type="pct"/>
            <w:tcBorders>
              <w:left w:val="single" w:sz="4" w:space="0" w:color="FFC000"/>
              <w:right w:val="single" w:sz="4" w:space="0" w:color="FFC000"/>
            </w:tcBorders>
            <w:shd w:val="clear" w:color="auto" w:fill="FFFFFF" w:themeFill="background1"/>
          </w:tcPr>
          <w:p w14:paraId="1E514A72" w14:textId="77777777" w:rsidR="005563F0" w:rsidRPr="00744269" w:rsidDel="005B246A" w:rsidRDefault="005563F0" w:rsidP="006E3E50">
            <w:pPr>
              <w:tabs>
                <w:tab w:val="left" w:pos="284"/>
              </w:tabs>
              <w:spacing w:after="0"/>
              <w:jc w:val="right"/>
              <w:rPr>
                <w:rFonts w:eastAsiaTheme="minorEastAsia" w:cs="Calibri"/>
                <w:color w:val="FF0000"/>
                <w:sz w:val="4"/>
                <w:szCs w:val="4"/>
              </w:rPr>
            </w:pPr>
          </w:p>
        </w:tc>
        <w:tc>
          <w:tcPr>
            <w:tcW w:w="572" w:type="pct"/>
            <w:tcBorders>
              <w:left w:val="single" w:sz="4" w:space="0" w:color="FFC000"/>
              <w:right w:val="single" w:sz="4" w:space="0" w:color="FFC000"/>
            </w:tcBorders>
            <w:shd w:val="clear" w:color="auto" w:fill="FFFFFF" w:themeFill="background1"/>
          </w:tcPr>
          <w:p w14:paraId="2FA1B109" w14:textId="77777777" w:rsidR="005563F0" w:rsidRPr="00744269" w:rsidDel="005B246A" w:rsidRDefault="005563F0" w:rsidP="006E3E50">
            <w:pPr>
              <w:tabs>
                <w:tab w:val="left" w:pos="284"/>
              </w:tabs>
              <w:spacing w:after="0"/>
              <w:jc w:val="right"/>
              <w:rPr>
                <w:rFonts w:eastAsiaTheme="minorEastAsia" w:cs="Calibri"/>
                <w:color w:val="FF0000"/>
                <w:sz w:val="4"/>
                <w:szCs w:val="4"/>
              </w:rPr>
            </w:pPr>
          </w:p>
        </w:tc>
      </w:tr>
      <w:tr w:rsidR="005563F0" w:rsidRPr="005744FA" w14:paraId="1F000EE1"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5D97F8EC" w14:textId="77777777" w:rsidR="005563F0" w:rsidRPr="005744FA" w:rsidRDefault="005563F0" w:rsidP="006E3E50">
            <w:pPr>
              <w:tabs>
                <w:tab w:val="left" w:pos="284"/>
              </w:tabs>
              <w:spacing w:after="0"/>
              <w:rPr>
                <w:rFonts w:eastAsiaTheme="minorEastAsia" w:cs="Calibri"/>
                <w:color w:val="003C96" w:themeColor="text2"/>
                <w:sz w:val="16"/>
                <w:szCs w:val="16"/>
                <w:lang w:val="en-US"/>
              </w:rPr>
            </w:pPr>
            <w:r w:rsidRPr="00F72352">
              <w:rPr>
                <w:rFonts w:eastAsiaTheme="minorEastAsia" w:cs="Calibri"/>
                <w:sz w:val="16"/>
                <w:szCs w:val="16"/>
              </w:rPr>
              <w:t>Αποτελέσματα Προ Φόρων</w:t>
            </w:r>
          </w:p>
        </w:tc>
        <w:tc>
          <w:tcPr>
            <w:tcW w:w="465" w:type="pct"/>
            <w:tcBorders>
              <w:left w:val="single" w:sz="4" w:space="0" w:color="FFC000"/>
              <w:right w:val="single" w:sz="4" w:space="0" w:color="FFC000"/>
            </w:tcBorders>
            <w:shd w:val="clear" w:color="auto" w:fill="FFFFFF" w:themeFill="background1"/>
            <w:vAlign w:val="center"/>
          </w:tcPr>
          <w:p w14:paraId="2A3562AF" w14:textId="77777777" w:rsidR="005563F0" w:rsidRPr="00820553"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(530)</w:t>
            </w:r>
          </w:p>
        </w:tc>
        <w:tc>
          <w:tcPr>
            <w:tcW w:w="465" w:type="pct"/>
            <w:tcBorders>
              <w:left w:val="single" w:sz="4" w:space="0" w:color="FFC000"/>
              <w:right w:val="single" w:sz="4" w:space="0" w:color="FFC000"/>
            </w:tcBorders>
            <w:shd w:val="clear" w:color="auto" w:fill="FFFFFF" w:themeFill="background1"/>
            <w:vAlign w:val="center"/>
          </w:tcPr>
          <w:p w14:paraId="5D178B18" w14:textId="77777777" w:rsidR="005563F0" w:rsidRPr="00AE3C09" w:rsidRDefault="005563F0" w:rsidP="006E3E50">
            <w:pPr>
              <w:tabs>
                <w:tab w:val="left" w:pos="284"/>
              </w:tabs>
              <w:spacing w:after="0"/>
              <w:jc w:val="right"/>
              <w:rPr>
                <w:rFonts w:eastAsiaTheme="minorEastAsia" w:cs="Calibri"/>
                <w:sz w:val="16"/>
                <w:szCs w:val="16"/>
                <w:vertAlign w:val="superscript"/>
                <w:lang w:val="en-US"/>
              </w:rPr>
            </w:pPr>
            <w:r>
              <w:rPr>
                <w:rFonts w:eastAsiaTheme="minorEastAsia" w:cs="Calibri"/>
                <w:sz w:val="16"/>
                <w:szCs w:val="16"/>
                <w:lang w:val="en-US"/>
              </w:rPr>
              <w:t>389</w:t>
            </w:r>
          </w:p>
        </w:tc>
        <w:tc>
          <w:tcPr>
            <w:tcW w:w="499" w:type="pct"/>
            <w:tcBorders>
              <w:left w:val="single" w:sz="2" w:space="0" w:color="FFC000"/>
              <w:right w:val="single" w:sz="4" w:space="0" w:color="FFC000"/>
            </w:tcBorders>
            <w:shd w:val="clear" w:color="auto" w:fill="FFFFFF" w:themeFill="background1"/>
            <w:vAlign w:val="center"/>
          </w:tcPr>
          <w:p w14:paraId="6B400869" w14:textId="77777777" w:rsidR="005563F0" w:rsidRPr="00820553"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c>
          <w:tcPr>
            <w:tcW w:w="501" w:type="pct"/>
            <w:tcBorders>
              <w:left w:val="single" w:sz="18" w:space="0" w:color="FFC000"/>
              <w:right w:val="single" w:sz="4" w:space="0" w:color="FFC000"/>
            </w:tcBorders>
            <w:shd w:val="clear" w:color="auto" w:fill="FFFFFF" w:themeFill="background1"/>
            <w:vAlign w:val="center"/>
          </w:tcPr>
          <w:p w14:paraId="128F852E" w14:textId="77777777" w:rsidR="005563F0" w:rsidRPr="00AE3C09" w:rsidRDefault="005563F0" w:rsidP="006E3E50">
            <w:pPr>
              <w:tabs>
                <w:tab w:val="left" w:pos="284"/>
              </w:tabs>
              <w:spacing w:after="0"/>
              <w:jc w:val="right"/>
              <w:rPr>
                <w:rFonts w:eastAsiaTheme="minorEastAsia" w:cs="Calibri"/>
                <w:sz w:val="16"/>
                <w:szCs w:val="16"/>
                <w:vertAlign w:val="superscript"/>
                <w:lang w:val="en-US"/>
              </w:rPr>
            </w:pPr>
            <w:r>
              <w:rPr>
                <w:rFonts w:eastAsiaTheme="minorEastAsia" w:cs="Calibri"/>
                <w:sz w:val="16"/>
                <w:szCs w:val="16"/>
                <w:lang w:val="en-US"/>
              </w:rPr>
              <w:t>(397)</w:t>
            </w:r>
          </w:p>
        </w:tc>
        <w:tc>
          <w:tcPr>
            <w:tcW w:w="501" w:type="pct"/>
            <w:tcBorders>
              <w:left w:val="single" w:sz="4" w:space="0" w:color="FFC000"/>
              <w:right w:val="single" w:sz="4" w:space="0" w:color="FFC000"/>
            </w:tcBorders>
            <w:shd w:val="clear" w:color="auto" w:fill="FFFFFF" w:themeFill="background1"/>
            <w:vAlign w:val="center"/>
          </w:tcPr>
          <w:p w14:paraId="26F4F1E1"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82</w:t>
            </w:r>
          </w:p>
        </w:tc>
        <w:tc>
          <w:tcPr>
            <w:tcW w:w="572" w:type="pct"/>
            <w:tcBorders>
              <w:left w:val="single" w:sz="4" w:space="0" w:color="FFC000"/>
              <w:right w:val="single" w:sz="4" w:space="0" w:color="FFC000"/>
            </w:tcBorders>
            <w:shd w:val="clear" w:color="auto" w:fill="FFFFFF" w:themeFill="background1"/>
            <w:vAlign w:val="center"/>
          </w:tcPr>
          <w:p w14:paraId="1DF0191C"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r>
      <w:tr w:rsidR="005563F0" w:rsidRPr="005744FA" w14:paraId="5836B42E"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6047A10F" w14:textId="77777777" w:rsidR="005563F0" w:rsidRPr="00D837BC" w:rsidRDefault="005563F0" w:rsidP="006E3E50">
            <w:pPr>
              <w:tabs>
                <w:tab w:val="left" w:pos="284"/>
              </w:tabs>
              <w:spacing w:after="0"/>
              <w:rPr>
                <w:rFonts w:eastAsiaTheme="minorEastAsia" w:cs="Calibri"/>
                <w:color w:val="003C96" w:themeColor="text2"/>
                <w:sz w:val="16"/>
                <w:szCs w:val="16"/>
              </w:rPr>
            </w:pPr>
            <w:r w:rsidRPr="00D837BC">
              <w:rPr>
                <w:rFonts w:eastAsiaTheme="minorEastAsia" w:cs="Calibri"/>
                <w:color w:val="003C96" w:themeColor="text2"/>
                <w:sz w:val="16"/>
                <w:szCs w:val="16"/>
              </w:rPr>
              <w:t xml:space="preserve">- </w:t>
            </w:r>
            <w:r w:rsidRPr="00D837BC">
              <w:rPr>
                <w:rFonts w:eastAsiaTheme="minorEastAsia" w:cs="Calibri"/>
                <w:color w:val="003C96" w:themeColor="text2"/>
                <w:spacing w:val="-2"/>
                <w:sz w:val="16"/>
                <w:szCs w:val="16"/>
              </w:rPr>
              <w:t xml:space="preserve">εξαιρουμένων </w:t>
            </w:r>
            <w:r>
              <w:rPr>
                <w:rFonts w:eastAsiaTheme="minorEastAsia" w:cs="Calibri"/>
                <w:color w:val="003C96" w:themeColor="text2"/>
                <w:spacing w:val="-2"/>
                <w:sz w:val="16"/>
                <w:szCs w:val="16"/>
              </w:rPr>
              <w:t>έκτακτων εσόδων και εξόδων</w:t>
            </w:r>
          </w:p>
        </w:tc>
        <w:tc>
          <w:tcPr>
            <w:tcW w:w="465" w:type="pct"/>
            <w:tcBorders>
              <w:left w:val="single" w:sz="4" w:space="0" w:color="FFC000"/>
              <w:right w:val="single" w:sz="4" w:space="0" w:color="FFC000"/>
            </w:tcBorders>
            <w:shd w:val="clear" w:color="auto" w:fill="FFFFFF" w:themeFill="background1"/>
            <w:vAlign w:val="center"/>
          </w:tcPr>
          <w:p w14:paraId="36FA95B1" w14:textId="77777777" w:rsidR="005563F0" w:rsidRPr="00410754" w:rsidRDefault="005563F0" w:rsidP="00410754">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lang w:val="en-US"/>
              </w:rPr>
              <w:t>3</w:t>
            </w:r>
            <w:r w:rsidR="00410754">
              <w:rPr>
                <w:rFonts w:eastAsiaTheme="minorEastAsia" w:cs="Calibri"/>
                <w:color w:val="003C96" w:themeColor="text2"/>
                <w:sz w:val="16"/>
                <w:szCs w:val="16"/>
              </w:rPr>
              <w:t>12</w:t>
            </w:r>
          </w:p>
        </w:tc>
        <w:tc>
          <w:tcPr>
            <w:tcW w:w="465" w:type="pct"/>
            <w:tcBorders>
              <w:left w:val="single" w:sz="4" w:space="0" w:color="FFC000"/>
              <w:right w:val="single" w:sz="4" w:space="0" w:color="FFC000"/>
            </w:tcBorders>
            <w:shd w:val="clear" w:color="auto" w:fill="FFFFFF" w:themeFill="background1"/>
            <w:vAlign w:val="center"/>
          </w:tcPr>
          <w:p w14:paraId="464D6797" w14:textId="77777777" w:rsidR="005563F0" w:rsidRPr="00914A62" w:rsidRDefault="005563F0" w:rsidP="006E3E50">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74</w:t>
            </w:r>
          </w:p>
        </w:tc>
        <w:tc>
          <w:tcPr>
            <w:tcW w:w="499" w:type="pct"/>
            <w:tcBorders>
              <w:left w:val="single" w:sz="2" w:space="0" w:color="FFC000"/>
              <w:right w:val="single" w:sz="4" w:space="0" w:color="FFC000"/>
            </w:tcBorders>
            <w:shd w:val="clear" w:color="auto" w:fill="FFFFFF" w:themeFill="background1"/>
            <w:vAlign w:val="center"/>
          </w:tcPr>
          <w:p w14:paraId="228BDFDA" w14:textId="77777777" w:rsidR="005563F0" w:rsidRPr="004F4AFD" w:rsidDel="005B246A" w:rsidRDefault="005563F0" w:rsidP="006E3E50">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lang w:val="en-US"/>
              </w:rPr>
              <w:t>n/a</w:t>
            </w:r>
          </w:p>
        </w:tc>
        <w:tc>
          <w:tcPr>
            <w:tcW w:w="501" w:type="pct"/>
            <w:tcBorders>
              <w:left w:val="single" w:sz="18" w:space="0" w:color="FFC000"/>
              <w:right w:val="single" w:sz="4" w:space="0" w:color="FFC000"/>
            </w:tcBorders>
            <w:shd w:val="clear" w:color="auto" w:fill="FFFFFF" w:themeFill="background1"/>
            <w:vAlign w:val="center"/>
          </w:tcPr>
          <w:p w14:paraId="6B17796C" w14:textId="77777777" w:rsidR="005563F0" w:rsidRPr="004F4AFD" w:rsidDel="005B246A" w:rsidRDefault="00410754" w:rsidP="006E3E50">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rPr>
              <w:t>2</w:t>
            </w:r>
            <w:r w:rsidR="005563F0">
              <w:rPr>
                <w:rFonts w:eastAsiaTheme="minorEastAsia" w:cs="Calibri"/>
                <w:color w:val="003C96" w:themeColor="text2"/>
                <w:sz w:val="16"/>
                <w:szCs w:val="16"/>
                <w:lang w:val="en-US"/>
              </w:rPr>
              <w:t>7</w:t>
            </w:r>
          </w:p>
        </w:tc>
        <w:tc>
          <w:tcPr>
            <w:tcW w:w="501" w:type="pct"/>
            <w:tcBorders>
              <w:left w:val="single" w:sz="4" w:space="0" w:color="FFC000"/>
              <w:right w:val="single" w:sz="4" w:space="0" w:color="FFC000"/>
            </w:tcBorders>
            <w:shd w:val="clear" w:color="auto" w:fill="FFFFFF" w:themeFill="background1"/>
            <w:vAlign w:val="center"/>
          </w:tcPr>
          <w:p w14:paraId="7E9A0C28" w14:textId="77777777" w:rsidR="005563F0" w:rsidRPr="00410754" w:rsidRDefault="005563F0" w:rsidP="00410754">
            <w:pPr>
              <w:tabs>
                <w:tab w:val="left" w:pos="284"/>
              </w:tabs>
              <w:spacing w:after="0"/>
              <w:jc w:val="right"/>
              <w:rPr>
                <w:rFonts w:eastAsiaTheme="minorEastAsia" w:cs="Calibri"/>
                <w:color w:val="003C96" w:themeColor="text2"/>
                <w:sz w:val="16"/>
                <w:szCs w:val="16"/>
              </w:rPr>
            </w:pPr>
            <w:r>
              <w:rPr>
                <w:rFonts w:eastAsiaTheme="minorEastAsia" w:cs="Calibri"/>
                <w:color w:val="003C96" w:themeColor="text2"/>
                <w:sz w:val="16"/>
                <w:szCs w:val="16"/>
                <w:lang w:val="en-US"/>
              </w:rPr>
              <w:t>10</w:t>
            </w:r>
            <w:r w:rsidR="00410754">
              <w:rPr>
                <w:rFonts w:eastAsiaTheme="minorEastAsia" w:cs="Calibri"/>
                <w:color w:val="003C96" w:themeColor="text2"/>
                <w:sz w:val="16"/>
                <w:szCs w:val="16"/>
              </w:rPr>
              <w:t>8</w:t>
            </w:r>
          </w:p>
        </w:tc>
        <w:tc>
          <w:tcPr>
            <w:tcW w:w="572" w:type="pct"/>
            <w:tcBorders>
              <w:left w:val="single" w:sz="4" w:space="0" w:color="FFC000"/>
              <w:right w:val="single" w:sz="4" w:space="0" w:color="FFC000"/>
            </w:tcBorders>
            <w:shd w:val="clear" w:color="auto" w:fill="FFFFFF" w:themeFill="background1"/>
            <w:vAlign w:val="center"/>
          </w:tcPr>
          <w:p w14:paraId="76D15855" w14:textId="77777777" w:rsidR="005563F0" w:rsidRPr="00744269" w:rsidRDefault="005563F0" w:rsidP="00410754">
            <w:pPr>
              <w:tabs>
                <w:tab w:val="left" w:pos="284"/>
              </w:tabs>
              <w:spacing w:after="0"/>
              <w:jc w:val="right"/>
              <w:rPr>
                <w:rFonts w:eastAsiaTheme="minorEastAsia" w:cs="Calibri"/>
                <w:color w:val="003C96" w:themeColor="text2"/>
                <w:sz w:val="16"/>
                <w:szCs w:val="16"/>
                <w:lang w:val="en-US"/>
              </w:rPr>
            </w:pPr>
            <w:r>
              <w:rPr>
                <w:rFonts w:eastAsiaTheme="minorEastAsia" w:cs="Calibri"/>
                <w:color w:val="003C96" w:themeColor="text2"/>
                <w:sz w:val="16"/>
                <w:szCs w:val="16"/>
                <w:lang w:val="en-US"/>
              </w:rPr>
              <w:t>-</w:t>
            </w:r>
            <w:r w:rsidR="00410754">
              <w:rPr>
                <w:rFonts w:eastAsiaTheme="minorEastAsia" w:cs="Calibri"/>
                <w:color w:val="003C96" w:themeColor="text2"/>
                <w:sz w:val="16"/>
                <w:szCs w:val="16"/>
              </w:rPr>
              <w:t>75</w:t>
            </w:r>
            <w:r>
              <w:rPr>
                <w:rFonts w:eastAsiaTheme="minorEastAsia" w:cs="Calibri"/>
                <w:color w:val="003C96" w:themeColor="text2"/>
                <w:sz w:val="16"/>
                <w:szCs w:val="16"/>
                <w:lang w:val="en-US"/>
              </w:rPr>
              <w:t>%</w:t>
            </w:r>
          </w:p>
        </w:tc>
      </w:tr>
      <w:tr w:rsidR="005563F0" w:rsidRPr="00727E7D" w14:paraId="38F61232" w14:textId="77777777" w:rsidTr="00BB6F70">
        <w:trPr>
          <w:trHeight w:val="127"/>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45AB39ED" w14:textId="77777777" w:rsidR="005563F0" w:rsidRPr="005744FA" w:rsidRDefault="005563F0" w:rsidP="006E3E50">
            <w:pPr>
              <w:tabs>
                <w:tab w:val="left" w:pos="284"/>
              </w:tabs>
              <w:spacing w:after="0"/>
              <w:rPr>
                <w:rFonts w:eastAsiaTheme="minorEastAsia" w:cs="Calibri"/>
                <w:sz w:val="4"/>
                <w:szCs w:val="4"/>
                <w:lang w:val="en-US"/>
              </w:rPr>
            </w:pPr>
          </w:p>
        </w:tc>
        <w:tc>
          <w:tcPr>
            <w:tcW w:w="465" w:type="pct"/>
            <w:tcBorders>
              <w:left w:val="single" w:sz="4" w:space="0" w:color="FFC000"/>
              <w:right w:val="single" w:sz="4" w:space="0" w:color="FFC000"/>
            </w:tcBorders>
            <w:shd w:val="clear" w:color="auto" w:fill="FFFFFF" w:themeFill="background1"/>
            <w:vAlign w:val="center"/>
          </w:tcPr>
          <w:p w14:paraId="54DA248B" w14:textId="77777777" w:rsidR="005563F0" w:rsidRPr="006C7864" w:rsidRDefault="005563F0" w:rsidP="006E3E50">
            <w:pPr>
              <w:tabs>
                <w:tab w:val="left" w:pos="284"/>
              </w:tabs>
              <w:spacing w:after="0"/>
              <w:jc w:val="right"/>
              <w:rPr>
                <w:rFonts w:eastAsiaTheme="minorEastAsia" w:cs="Calibri"/>
                <w:color w:val="FF0000"/>
                <w:sz w:val="4"/>
                <w:szCs w:val="4"/>
                <w:lang w:val="en-US"/>
              </w:rPr>
            </w:pPr>
          </w:p>
        </w:tc>
        <w:tc>
          <w:tcPr>
            <w:tcW w:w="465" w:type="pct"/>
            <w:tcBorders>
              <w:left w:val="single" w:sz="4" w:space="0" w:color="FFC000"/>
              <w:right w:val="single" w:sz="4" w:space="0" w:color="FFC000"/>
            </w:tcBorders>
            <w:shd w:val="clear" w:color="auto" w:fill="FFFFFF" w:themeFill="background1"/>
            <w:vAlign w:val="center"/>
          </w:tcPr>
          <w:p w14:paraId="4FB8D478" w14:textId="77777777" w:rsidR="005563F0" w:rsidRPr="006C7864" w:rsidRDefault="005563F0" w:rsidP="006E3E50">
            <w:pPr>
              <w:tabs>
                <w:tab w:val="left" w:pos="284"/>
              </w:tabs>
              <w:spacing w:after="0"/>
              <w:jc w:val="right"/>
              <w:rPr>
                <w:rFonts w:eastAsiaTheme="minorEastAsia" w:cs="Calibri"/>
                <w:color w:val="FF0000"/>
                <w:sz w:val="4"/>
                <w:szCs w:val="4"/>
                <w:lang w:val="en-US"/>
              </w:rPr>
            </w:pPr>
          </w:p>
        </w:tc>
        <w:tc>
          <w:tcPr>
            <w:tcW w:w="499" w:type="pct"/>
            <w:tcBorders>
              <w:left w:val="single" w:sz="2" w:space="0" w:color="FFC000"/>
              <w:right w:val="single" w:sz="4" w:space="0" w:color="FFC000"/>
            </w:tcBorders>
            <w:shd w:val="clear" w:color="auto" w:fill="FFFFFF" w:themeFill="background1"/>
            <w:vAlign w:val="center"/>
          </w:tcPr>
          <w:p w14:paraId="00BBCF9F" w14:textId="77777777" w:rsidR="005563F0" w:rsidRPr="006C7864" w:rsidRDefault="005563F0" w:rsidP="006E3E50">
            <w:pPr>
              <w:tabs>
                <w:tab w:val="left" w:pos="284"/>
              </w:tabs>
              <w:spacing w:after="0"/>
              <w:jc w:val="right"/>
              <w:rPr>
                <w:rFonts w:eastAsiaTheme="minorEastAsia" w:cs="Calibri"/>
                <w:color w:val="FF0000"/>
                <w:sz w:val="4"/>
                <w:szCs w:val="4"/>
                <w:lang w:val="en-US"/>
              </w:rPr>
            </w:pPr>
          </w:p>
        </w:tc>
        <w:tc>
          <w:tcPr>
            <w:tcW w:w="501" w:type="pct"/>
            <w:tcBorders>
              <w:left w:val="single" w:sz="18" w:space="0" w:color="FFC000"/>
              <w:right w:val="single" w:sz="4" w:space="0" w:color="FFC000"/>
            </w:tcBorders>
            <w:shd w:val="clear" w:color="auto" w:fill="FFFFFF" w:themeFill="background1"/>
            <w:vAlign w:val="center"/>
          </w:tcPr>
          <w:p w14:paraId="4018B9F0" w14:textId="77777777" w:rsidR="005563F0" w:rsidRPr="006C7864" w:rsidRDefault="005563F0" w:rsidP="006E3E50">
            <w:pPr>
              <w:tabs>
                <w:tab w:val="left" w:pos="284"/>
              </w:tabs>
              <w:spacing w:after="0"/>
              <w:jc w:val="right"/>
              <w:rPr>
                <w:rFonts w:eastAsiaTheme="minorEastAsia" w:cs="Calibri"/>
                <w:color w:val="FF0000"/>
                <w:sz w:val="4"/>
                <w:szCs w:val="4"/>
                <w:lang w:val="en-US"/>
              </w:rPr>
            </w:pPr>
          </w:p>
        </w:tc>
        <w:tc>
          <w:tcPr>
            <w:tcW w:w="501" w:type="pct"/>
            <w:tcBorders>
              <w:left w:val="single" w:sz="4" w:space="0" w:color="FFC000"/>
              <w:right w:val="single" w:sz="4" w:space="0" w:color="FFC000"/>
            </w:tcBorders>
            <w:shd w:val="clear" w:color="auto" w:fill="FFFFFF" w:themeFill="background1"/>
            <w:vAlign w:val="center"/>
          </w:tcPr>
          <w:p w14:paraId="0FA2085B" w14:textId="77777777" w:rsidR="005563F0" w:rsidRPr="0052694F" w:rsidRDefault="005563F0" w:rsidP="006E3E50">
            <w:pPr>
              <w:tabs>
                <w:tab w:val="left" w:pos="284"/>
              </w:tabs>
              <w:spacing w:after="0"/>
              <w:jc w:val="right"/>
              <w:rPr>
                <w:rFonts w:eastAsiaTheme="minorEastAsia" w:cs="Calibri"/>
                <w:color w:val="FF0000"/>
                <w:sz w:val="4"/>
                <w:szCs w:val="4"/>
                <w:lang w:val="en-US"/>
              </w:rPr>
            </w:pPr>
          </w:p>
        </w:tc>
        <w:tc>
          <w:tcPr>
            <w:tcW w:w="572" w:type="pct"/>
            <w:tcBorders>
              <w:left w:val="single" w:sz="4" w:space="0" w:color="FFC000"/>
              <w:right w:val="single" w:sz="4" w:space="0" w:color="FFC000"/>
            </w:tcBorders>
            <w:shd w:val="clear" w:color="auto" w:fill="FFFFFF" w:themeFill="background1"/>
            <w:vAlign w:val="center"/>
          </w:tcPr>
          <w:p w14:paraId="562733AB" w14:textId="77777777" w:rsidR="005563F0" w:rsidRPr="0052694F" w:rsidRDefault="005563F0" w:rsidP="006E3E50">
            <w:pPr>
              <w:tabs>
                <w:tab w:val="left" w:pos="284"/>
              </w:tabs>
              <w:spacing w:after="0"/>
              <w:jc w:val="right"/>
              <w:rPr>
                <w:rFonts w:eastAsiaTheme="minorEastAsia" w:cs="Calibri"/>
                <w:color w:val="FF0000"/>
                <w:sz w:val="4"/>
                <w:szCs w:val="4"/>
                <w:lang w:val="en-US"/>
              </w:rPr>
            </w:pPr>
          </w:p>
        </w:tc>
      </w:tr>
      <w:tr w:rsidR="005563F0" w:rsidRPr="00727E7D" w14:paraId="57D9B4D6"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5324D14B" w14:textId="77777777" w:rsidR="005563F0" w:rsidRPr="005744FA" w:rsidRDefault="005563F0" w:rsidP="006E3E50">
            <w:pPr>
              <w:tabs>
                <w:tab w:val="left" w:pos="284"/>
              </w:tabs>
              <w:spacing w:after="0"/>
              <w:rPr>
                <w:rFonts w:eastAsiaTheme="minorEastAsia" w:cs="Calibri"/>
                <w:sz w:val="16"/>
                <w:szCs w:val="16"/>
                <w:lang w:val="en-US"/>
              </w:rPr>
            </w:pPr>
            <w:r w:rsidRPr="007316DD">
              <w:rPr>
                <w:rFonts w:eastAsiaTheme="minorEastAsia" w:cs="Calibri"/>
                <w:sz w:val="16"/>
                <w:szCs w:val="16"/>
              </w:rPr>
              <w:t>Φόρος Εισοδήματος</w:t>
            </w:r>
          </w:p>
        </w:tc>
        <w:tc>
          <w:tcPr>
            <w:tcW w:w="465" w:type="pct"/>
            <w:tcBorders>
              <w:left w:val="single" w:sz="4" w:space="0" w:color="FFC000"/>
              <w:right w:val="single" w:sz="4" w:space="0" w:color="FFC000"/>
            </w:tcBorders>
            <w:shd w:val="clear" w:color="auto" w:fill="FFFFFF" w:themeFill="background1"/>
            <w:vAlign w:val="center"/>
          </w:tcPr>
          <w:p w14:paraId="467E0EE0"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128</w:t>
            </w:r>
          </w:p>
        </w:tc>
        <w:tc>
          <w:tcPr>
            <w:tcW w:w="465" w:type="pct"/>
            <w:tcBorders>
              <w:left w:val="single" w:sz="4" w:space="0" w:color="FFC000"/>
              <w:right w:val="single" w:sz="4" w:space="0" w:color="FFC000"/>
            </w:tcBorders>
            <w:shd w:val="clear" w:color="auto" w:fill="FFFFFF" w:themeFill="background1"/>
            <w:vAlign w:val="center"/>
          </w:tcPr>
          <w:p w14:paraId="6D0D7F0A"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123</w:t>
            </w:r>
          </w:p>
        </w:tc>
        <w:tc>
          <w:tcPr>
            <w:tcW w:w="499" w:type="pct"/>
            <w:tcBorders>
              <w:left w:val="single" w:sz="2" w:space="0" w:color="FFC000"/>
              <w:right w:val="single" w:sz="4" w:space="0" w:color="FFC000"/>
            </w:tcBorders>
            <w:shd w:val="clear" w:color="auto" w:fill="FFFFFF" w:themeFill="background1"/>
            <w:vAlign w:val="center"/>
          </w:tcPr>
          <w:p w14:paraId="39CF9067"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w:t>
            </w:r>
          </w:p>
        </w:tc>
        <w:tc>
          <w:tcPr>
            <w:tcW w:w="501" w:type="pct"/>
            <w:tcBorders>
              <w:left w:val="single" w:sz="18" w:space="0" w:color="FFC000"/>
              <w:right w:val="single" w:sz="4" w:space="0" w:color="FFC000"/>
            </w:tcBorders>
            <w:shd w:val="clear" w:color="auto" w:fill="FFFFFF" w:themeFill="background1"/>
            <w:vAlign w:val="center"/>
          </w:tcPr>
          <w:p w14:paraId="6AE39D4D"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118</w:t>
            </w:r>
          </w:p>
        </w:tc>
        <w:tc>
          <w:tcPr>
            <w:tcW w:w="501" w:type="pct"/>
            <w:tcBorders>
              <w:left w:val="single" w:sz="4" w:space="0" w:color="FFC000"/>
              <w:right w:val="single" w:sz="4" w:space="0" w:color="FFC000"/>
            </w:tcBorders>
            <w:shd w:val="clear" w:color="auto" w:fill="FFFFFF" w:themeFill="background1"/>
            <w:vAlign w:val="center"/>
          </w:tcPr>
          <w:p w14:paraId="391683AA" w14:textId="77777777" w:rsidR="005563F0" w:rsidRPr="0052694F" w:rsidRDefault="005563F0" w:rsidP="006E3E50">
            <w:pPr>
              <w:tabs>
                <w:tab w:val="left" w:pos="284"/>
              </w:tabs>
              <w:spacing w:after="0"/>
              <w:jc w:val="right"/>
              <w:rPr>
                <w:rFonts w:eastAsiaTheme="minorEastAsia" w:cs="Calibri"/>
                <w:color w:val="FF0000"/>
                <w:sz w:val="16"/>
                <w:szCs w:val="16"/>
                <w:lang w:val="en-US"/>
              </w:rPr>
            </w:pPr>
            <w:r>
              <w:rPr>
                <w:rFonts w:eastAsiaTheme="minorEastAsia" w:cs="Calibri"/>
                <w:sz w:val="16"/>
                <w:szCs w:val="16"/>
                <w:lang w:val="en-US"/>
              </w:rPr>
              <w:t>79</w:t>
            </w:r>
          </w:p>
        </w:tc>
        <w:tc>
          <w:tcPr>
            <w:tcW w:w="572" w:type="pct"/>
            <w:tcBorders>
              <w:left w:val="single" w:sz="4" w:space="0" w:color="FFC000"/>
              <w:right w:val="single" w:sz="4" w:space="0" w:color="FFC000"/>
            </w:tcBorders>
            <w:shd w:val="clear" w:color="auto" w:fill="FFFFFF" w:themeFill="background1"/>
            <w:vAlign w:val="center"/>
          </w:tcPr>
          <w:p w14:paraId="2FC5F1CB" w14:textId="77777777" w:rsidR="005563F0" w:rsidRPr="00B710C6" w:rsidRDefault="005563F0" w:rsidP="006E3E50">
            <w:pPr>
              <w:tabs>
                <w:tab w:val="left" w:pos="284"/>
              </w:tabs>
              <w:spacing w:after="0"/>
              <w:jc w:val="right"/>
              <w:rPr>
                <w:rFonts w:eastAsiaTheme="minorEastAsia" w:cs="Calibri"/>
                <w:color w:val="000000" w:themeColor="text1"/>
                <w:sz w:val="16"/>
                <w:szCs w:val="16"/>
                <w:lang w:val="en-US"/>
              </w:rPr>
            </w:pPr>
            <w:r>
              <w:rPr>
                <w:rFonts w:eastAsiaTheme="minorEastAsia" w:cs="Calibri"/>
                <w:sz w:val="16"/>
                <w:szCs w:val="16"/>
                <w:lang w:val="en-US"/>
              </w:rPr>
              <w:t>49%</w:t>
            </w:r>
          </w:p>
        </w:tc>
      </w:tr>
      <w:tr w:rsidR="005563F0" w:rsidRPr="00727E7D" w14:paraId="0FCC6707" w14:textId="77777777" w:rsidTr="00BB6F70">
        <w:trPr>
          <w:trHeight w:val="147"/>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55FB6981" w14:textId="77777777" w:rsidR="005563F0" w:rsidRPr="005744FA" w:rsidRDefault="005563F0" w:rsidP="006E3E50">
            <w:pPr>
              <w:tabs>
                <w:tab w:val="left" w:pos="284"/>
              </w:tabs>
              <w:spacing w:after="0"/>
              <w:rPr>
                <w:rFonts w:eastAsiaTheme="minorEastAsia" w:cs="Calibri"/>
                <w:color w:val="003C96" w:themeColor="text2"/>
                <w:sz w:val="4"/>
                <w:szCs w:val="4"/>
                <w:lang w:val="en-US"/>
              </w:rPr>
            </w:pPr>
          </w:p>
        </w:tc>
        <w:tc>
          <w:tcPr>
            <w:tcW w:w="465" w:type="pct"/>
            <w:tcBorders>
              <w:left w:val="single" w:sz="4" w:space="0" w:color="FFC000"/>
              <w:right w:val="single" w:sz="4" w:space="0" w:color="FFC000"/>
            </w:tcBorders>
            <w:shd w:val="clear" w:color="auto" w:fill="FFFFFF" w:themeFill="background1"/>
            <w:vAlign w:val="center"/>
          </w:tcPr>
          <w:p w14:paraId="290B6C0E" w14:textId="77777777" w:rsidR="005563F0" w:rsidRPr="006C7864" w:rsidRDefault="005563F0" w:rsidP="006E3E50">
            <w:pPr>
              <w:tabs>
                <w:tab w:val="left" w:pos="284"/>
              </w:tabs>
              <w:spacing w:after="0"/>
              <w:jc w:val="right"/>
              <w:rPr>
                <w:rFonts w:eastAsiaTheme="minorEastAsia" w:cs="Calibri"/>
                <w:color w:val="FF0000"/>
                <w:sz w:val="4"/>
                <w:szCs w:val="4"/>
                <w:highlight w:val="green"/>
                <w:lang w:val="en-US"/>
              </w:rPr>
            </w:pPr>
          </w:p>
        </w:tc>
        <w:tc>
          <w:tcPr>
            <w:tcW w:w="465" w:type="pct"/>
            <w:tcBorders>
              <w:left w:val="single" w:sz="4" w:space="0" w:color="FFC000"/>
              <w:right w:val="single" w:sz="4" w:space="0" w:color="FFC000"/>
            </w:tcBorders>
            <w:shd w:val="clear" w:color="auto" w:fill="FFFFFF" w:themeFill="background1"/>
            <w:vAlign w:val="center"/>
          </w:tcPr>
          <w:p w14:paraId="363D2808" w14:textId="77777777" w:rsidR="005563F0" w:rsidRPr="006C7864" w:rsidRDefault="005563F0" w:rsidP="006E3E50">
            <w:pPr>
              <w:tabs>
                <w:tab w:val="left" w:pos="284"/>
              </w:tabs>
              <w:spacing w:after="0"/>
              <w:jc w:val="right"/>
              <w:rPr>
                <w:rFonts w:eastAsiaTheme="minorEastAsia" w:cs="Calibri"/>
                <w:color w:val="FF0000"/>
                <w:sz w:val="4"/>
                <w:szCs w:val="4"/>
                <w:highlight w:val="green"/>
                <w:lang w:val="en-US"/>
              </w:rPr>
            </w:pPr>
          </w:p>
        </w:tc>
        <w:tc>
          <w:tcPr>
            <w:tcW w:w="499" w:type="pct"/>
            <w:tcBorders>
              <w:left w:val="single" w:sz="2" w:space="0" w:color="FFC000"/>
              <w:right w:val="single" w:sz="4" w:space="0" w:color="FFC000"/>
            </w:tcBorders>
            <w:shd w:val="clear" w:color="auto" w:fill="FFFFFF" w:themeFill="background1"/>
            <w:vAlign w:val="center"/>
          </w:tcPr>
          <w:p w14:paraId="633597AA" w14:textId="77777777" w:rsidR="005563F0" w:rsidRPr="006C7864" w:rsidRDefault="005563F0" w:rsidP="006E3E50">
            <w:pPr>
              <w:tabs>
                <w:tab w:val="left" w:pos="284"/>
              </w:tabs>
              <w:spacing w:after="0"/>
              <w:jc w:val="right"/>
              <w:rPr>
                <w:rFonts w:eastAsiaTheme="minorEastAsia" w:cs="Calibri"/>
                <w:color w:val="FF0000"/>
                <w:sz w:val="4"/>
                <w:szCs w:val="4"/>
                <w:lang w:val="en-US"/>
              </w:rPr>
            </w:pPr>
          </w:p>
        </w:tc>
        <w:tc>
          <w:tcPr>
            <w:tcW w:w="501" w:type="pct"/>
            <w:tcBorders>
              <w:left w:val="single" w:sz="18" w:space="0" w:color="FFC000"/>
              <w:right w:val="single" w:sz="4" w:space="0" w:color="FFC000"/>
            </w:tcBorders>
            <w:shd w:val="clear" w:color="auto" w:fill="FFFFFF" w:themeFill="background1"/>
            <w:vAlign w:val="center"/>
          </w:tcPr>
          <w:p w14:paraId="1A085004" w14:textId="77777777" w:rsidR="005563F0" w:rsidRPr="006C7864" w:rsidRDefault="005563F0" w:rsidP="006E3E50">
            <w:pPr>
              <w:tabs>
                <w:tab w:val="left" w:pos="284"/>
              </w:tabs>
              <w:spacing w:after="0"/>
              <w:jc w:val="right"/>
              <w:rPr>
                <w:rFonts w:eastAsiaTheme="minorEastAsia" w:cs="Calibri"/>
                <w:color w:val="FF0000"/>
                <w:sz w:val="4"/>
                <w:szCs w:val="4"/>
                <w:lang w:val="en-US"/>
              </w:rPr>
            </w:pPr>
          </w:p>
        </w:tc>
        <w:tc>
          <w:tcPr>
            <w:tcW w:w="501" w:type="pct"/>
            <w:tcBorders>
              <w:left w:val="single" w:sz="4" w:space="0" w:color="FFC000"/>
              <w:right w:val="single" w:sz="4" w:space="0" w:color="FFC000"/>
            </w:tcBorders>
            <w:shd w:val="clear" w:color="auto" w:fill="FFFFFF" w:themeFill="background1"/>
            <w:vAlign w:val="center"/>
          </w:tcPr>
          <w:p w14:paraId="4BF27B93" w14:textId="77777777" w:rsidR="005563F0" w:rsidRPr="00744269" w:rsidRDefault="005563F0" w:rsidP="006E3E50">
            <w:pPr>
              <w:tabs>
                <w:tab w:val="left" w:pos="284"/>
              </w:tabs>
              <w:spacing w:after="0"/>
              <w:jc w:val="right"/>
              <w:rPr>
                <w:rFonts w:eastAsiaTheme="minorEastAsia" w:cs="Calibri"/>
                <w:color w:val="FF0000"/>
                <w:sz w:val="4"/>
                <w:szCs w:val="4"/>
                <w:lang w:val="en-US"/>
              </w:rPr>
            </w:pPr>
          </w:p>
        </w:tc>
        <w:tc>
          <w:tcPr>
            <w:tcW w:w="572" w:type="pct"/>
            <w:tcBorders>
              <w:left w:val="single" w:sz="4" w:space="0" w:color="FFC000"/>
              <w:right w:val="single" w:sz="4" w:space="0" w:color="FFC000"/>
            </w:tcBorders>
            <w:shd w:val="clear" w:color="auto" w:fill="FFFFFF" w:themeFill="background1"/>
            <w:vAlign w:val="center"/>
          </w:tcPr>
          <w:p w14:paraId="307B933D" w14:textId="77777777" w:rsidR="005563F0" w:rsidRPr="00744269" w:rsidRDefault="005563F0" w:rsidP="006E3E50">
            <w:pPr>
              <w:tabs>
                <w:tab w:val="left" w:pos="284"/>
              </w:tabs>
              <w:spacing w:after="0"/>
              <w:jc w:val="right"/>
              <w:rPr>
                <w:rFonts w:eastAsiaTheme="minorEastAsia" w:cs="Calibri"/>
                <w:color w:val="FF0000"/>
                <w:sz w:val="4"/>
                <w:szCs w:val="4"/>
                <w:lang w:val="en-US"/>
              </w:rPr>
            </w:pPr>
          </w:p>
        </w:tc>
      </w:tr>
      <w:tr w:rsidR="005563F0" w:rsidRPr="00037376" w14:paraId="08332660"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2F991F2E" w14:textId="77777777" w:rsidR="005563F0" w:rsidRPr="00465217" w:rsidRDefault="005563F0" w:rsidP="006E3E50">
            <w:pPr>
              <w:tabs>
                <w:tab w:val="left" w:pos="284"/>
              </w:tabs>
              <w:spacing w:after="0"/>
              <w:rPr>
                <w:rFonts w:eastAsiaTheme="minorEastAsia" w:cs="Calibri"/>
                <w:sz w:val="16"/>
                <w:szCs w:val="16"/>
              </w:rPr>
            </w:pPr>
            <w:r w:rsidRPr="00465217">
              <w:rPr>
                <w:rFonts w:eastAsiaTheme="minorEastAsia" w:cs="Calibri"/>
                <w:sz w:val="16"/>
                <w:szCs w:val="16"/>
              </w:rPr>
              <w:t>Καθαρά Αποτελέσματα</w:t>
            </w:r>
          </w:p>
        </w:tc>
        <w:tc>
          <w:tcPr>
            <w:tcW w:w="465" w:type="pct"/>
            <w:tcBorders>
              <w:left w:val="single" w:sz="4" w:space="0" w:color="FFC000"/>
              <w:right w:val="single" w:sz="4" w:space="0" w:color="FFC000"/>
            </w:tcBorders>
            <w:shd w:val="clear" w:color="auto" w:fill="FFFFFF" w:themeFill="background1"/>
            <w:vAlign w:val="center"/>
          </w:tcPr>
          <w:p w14:paraId="204E04ED" w14:textId="77777777" w:rsidR="005563F0" w:rsidRPr="00037376"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(668)</w:t>
            </w:r>
          </w:p>
        </w:tc>
        <w:tc>
          <w:tcPr>
            <w:tcW w:w="465" w:type="pct"/>
            <w:tcBorders>
              <w:left w:val="single" w:sz="4" w:space="0" w:color="FFC000"/>
              <w:right w:val="single" w:sz="4" w:space="0" w:color="FFC000"/>
            </w:tcBorders>
            <w:shd w:val="clear" w:color="auto" w:fill="FFFFFF" w:themeFill="background1"/>
            <w:vAlign w:val="center"/>
          </w:tcPr>
          <w:p w14:paraId="6C1FAA13" w14:textId="77777777" w:rsidR="005563F0" w:rsidRPr="00AE3C09" w:rsidRDefault="005563F0" w:rsidP="006E3E50">
            <w:pPr>
              <w:tabs>
                <w:tab w:val="left" w:pos="284"/>
              </w:tabs>
              <w:spacing w:after="0"/>
              <w:jc w:val="right"/>
              <w:rPr>
                <w:rFonts w:eastAsiaTheme="minorEastAsia" w:cs="Calibri"/>
                <w:color w:val="003C96" w:themeColor="text2"/>
                <w:sz w:val="16"/>
                <w:szCs w:val="16"/>
                <w:vertAlign w:val="superscript"/>
                <w:lang w:val="en-GB"/>
              </w:rPr>
            </w:pPr>
            <w:r w:rsidRPr="00040D4E">
              <w:rPr>
                <w:rFonts w:eastAsiaTheme="minorEastAsia" w:cs="Calibri"/>
                <w:sz w:val="16"/>
                <w:szCs w:val="16"/>
                <w:lang w:val="en-GB"/>
              </w:rPr>
              <w:t>276</w:t>
            </w:r>
          </w:p>
        </w:tc>
        <w:tc>
          <w:tcPr>
            <w:tcW w:w="499" w:type="pct"/>
            <w:tcBorders>
              <w:left w:val="single" w:sz="2" w:space="0" w:color="FFC000"/>
              <w:right w:val="single" w:sz="4" w:space="0" w:color="FFC000"/>
            </w:tcBorders>
            <w:shd w:val="clear" w:color="auto" w:fill="FFFFFF" w:themeFill="background1"/>
            <w:vAlign w:val="center"/>
          </w:tcPr>
          <w:p w14:paraId="15CC7AAA" w14:textId="77777777" w:rsidR="005563F0" w:rsidRPr="00B710C6"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n/a</w:t>
            </w:r>
          </w:p>
        </w:tc>
        <w:tc>
          <w:tcPr>
            <w:tcW w:w="501" w:type="pct"/>
            <w:tcBorders>
              <w:left w:val="single" w:sz="18" w:space="0" w:color="FFC000"/>
              <w:right w:val="single" w:sz="4" w:space="0" w:color="FFC000"/>
            </w:tcBorders>
            <w:shd w:val="clear" w:color="auto" w:fill="FFFFFF" w:themeFill="background1"/>
            <w:vAlign w:val="center"/>
          </w:tcPr>
          <w:p w14:paraId="608A84A0" w14:textId="77777777" w:rsidR="005563F0" w:rsidRPr="00AE3C09" w:rsidRDefault="005563F0" w:rsidP="006E3E50">
            <w:pPr>
              <w:tabs>
                <w:tab w:val="left" w:pos="284"/>
              </w:tabs>
              <w:spacing w:after="0"/>
              <w:jc w:val="right"/>
              <w:rPr>
                <w:rFonts w:eastAsiaTheme="minorEastAsia" w:cs="Calibri"/>
                <w:color w:val="003C96" w:themeColor="text2"/>
                <w:sz w:val="16"/>
                <w:szCs w:val="16"/>
                <w:vertAlign w:val="superscript"/>
                <w:lang w:val="en-GB"/>
              </w:rPr>
            </w:pPr>
            <w:r w:rsidRPr="00040D4E">
              <w:rPr>
                <w:rFonts w:eastAsiaTheme="minorEastAsia" w:cs="Calibri"/>
                <w:sz w:val="16"/>
                <w:szCs w:val="16"/>
                <w:lang w:val="en-GB"/>
              </w:rPr>
              <w:t>(518)</w:t>
            </w:r>
          </w:p>
        </w:tc>
        <w:tc>
          <w:tcPr>
            <w:tcW w:w="501" w:type="pct"/>
            <w:tcBorders>
              <w:left w:val="single" w:sz="4" w:space="0" w:color="FFC000"/>
              <w:right w:val="single" w:sz="4" w:space="0" w:color="FFC000"/>
            </w:tcBorders>
            <w:shd w:val="clear" w:color="auto" w:fill="FFFFFF" w:themeFill="background1"/>
            <w:vAlign w:val="center"/>
          </w:tcPr>
          <w:p w14:paraId="3D0EE928"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1</w:t>
            </w:r>
          </w:p>
        </w:tc>
        <w:tc>
          <w:tcPr>
            <w:tcW w:w="572" w:type="pct"/>
            <w:tcBorders>
              <w:left w:val="single" w:sz="4" w:space="0" w:color="FFC000"/>
              <w:right w:val="single" w:sz="4" w:space="0" w:color="FFC000"/>
            </w:tcBorders>
            <w:shd w:val="clear" w:color="auto" w:fill="FFFFFF" w:themeFill="background1"/>
            <w:vAlign w:val="center"/>
          </w:tcPr>
          <w:p w14:paraId="0013871D"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n/a</w:t>
            </w:r>
          </w:p>
        </w:tc>
      </w:tr>
      <w:tr w:rsidR="005563F0" w:rsidRPr="00037376" w14:paraId="5E72054A"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vAlign w:val="center"/>
          </w:tcPr>
          <w:p w14:paraId="2D53E541" w14:textId="77777777" w:rsidR="005563F0" w:rsidRPr="00465217" w:rsidRDefault="005563F0" w:rsidP="006E3E50">
            <w:pPr>
              <w:tabs>
                <w:tab w:val="left" w:pos="284"/>
              </w:tabs>
              <w:spacing w:after="0"/>
              <w:rPr>
                <w:rFonts w:eastAsiaTheme="minorEastAsia" w:cs="Calibri"/>
                <w:sz w:val="16"/>
                <w:szCs w:val="16"/>
              </w:rPr>
            </w:pPr>
            <w:r w:rsidRPr="00465217">
              <w:rPr>
                <w:rFonts w:eastAsiaTheme="minorEastAsia" w:cs="Calibri"/>
                <w:sz w:val="16"/>
                <w:szCs w:val="16"/>
              </w:rPr>
              <w:t xml:space="preserve">Αποτελέσματα Μετόχων από </w:t>
            </w:r>
            <w:proofErr w:type="spellStart"/>
            <w:r w:rsidRPr="00465217">
              <w:rPr>
                <w:rFonts w:eastAsiaTheme="minorEastAsia" w:cs="Calibri"/>
                <w:sz w:val="16"/>
                <w:szCs w:val="16"/>
              </w:rPr>
              <w:t>Συνεχ</w:t>
            </w:r>
            <w:proofErr w:type="spellEnd"/>
            <w:r w:rsidRPr="00465217">
              <w:rPr>
                <w:rFonts w:eastAsiaTheme="minorEastAsia" w:cs="Calibri"/>
                <w:sz w:val="16"/>
                <w:szCs w:val="16"/>
              </w:rPr>
              <w:t xml:space="preserve">. </w:t>
            </w:r>
            <w:proofErr w:type="spellStart"/>
            <w:r w:rsidRPr="00465217">
              <w:rPr>
                <w:rFonts w:eastAsiaTheme="minorEastAsia" w:cs="Calibri"/>
                <w:sz w:val="16"/>
                <w:szCs w:val="16"/>
              </w:rPr>
              <w:t>Δραστ</w:t>
            </w:r>
            <w:proofErr w:type="spellEnd"/>
            <w:r w:rsidRPr="00465217">
              <w:rPr>
                <w:rFonts w:eastAsiaTheme="minorEastAsia" w:cs="Calibri"/>
                <w:sz w:val="16"/>
                <w:szCs w:val="16"/>
              </w:rPr>
              <w:t>/τες</w:t>
            </w:r>
          </w:p>
        </w:tc>
        <w:tc>
          <w:tcPr>
            <w:tcW w:w="465" w:type="pct"/>
            <w:tcBorders>
              <w:left w:val="single" w:sz="4" w:space="0" w:color="FFC000"/>
              <w:right w:val="single" w:sz="4" w:space="0" w:color="FFC000"/>
            </w:tcBorders>
            <w:shd w:val="clear" w:color="auto" w:fill="FFFFFF" w:themeFill="background1"/>
            <w:vAlign w:val="center"/>
          </w:tcPr>
          <w:p w14:paraId="068EAE7A" w14:textId="77777777" w:rsidR="005563F0" w:rsidRPr="00037376"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(652)</w:t>
            </w:r>
          </w:p>
        </w:tc>
        <w:tc>
          <w:tcPr>
            <w:tcW w:w="465" w:type="pct"/>
            <w:tcBorders>
              <w:left w:val="single" w:sz="4" w:space="0" w:color="FFC000"/>
              <w:right w:val="single" w:sz="4" w:space="0" w:color="FFC000"/>
            </w:tcBorders>
            <w:shd w:val="clear" w:color="auto" w:fill="FFFFFF" w:themeFill="background1"/>
            <w:vAlign w:val="center"/>
          </w:tcPr>
          <w:p w14:paraId="2AC820A4" w14:textId="77777777" w:rsidR="005563F0" w:rsidRPr="00AE3C09" w:rsidRDefault="005563F0" w:rsidP="006E3E50">
            <w:pPr>
              <w:tabs>
                <w:tab w:val="left" w:pos="284"/>
              </w:tabs>
              <w:spacing w:after="0"/>
              <w:jc w:val="right"/>
              <w:rPr>
                <w:rFonts w:eastAsiaTheme="minorEastAsia" w:cs="Calibri"/>
                <w:color w:val="003C96" w:themeColor="text2"/>
                <w:sz w:val="16"/>
                <w:szCs w:val="16"/>
                <w:vertAlign w:val="superscript"/>
                <w:lang w:val="en-GB"/>
              </w:rPr>
            </w:pPr>
            <w:r w:rsidRPr="00040D4E">
              <w:rPr>
                <w:rFonts w:eastAsiaTheme="minorEastAsia" w:cs="Calibri"/>
                <w:sz w:val="16"/>
                <w:szCs w:val="16"/>
                <w:lang w:val="en-GB"/>
              </w:rPr>
              <w:t>270</w:t>
            </w:r>
          </w:p>
        </w:tc>
        <w:tc>
          <w:tcPr>
            <w:tcW w:w="499" w:type="pct"/>
            <w:tcBorders>
              <w:left w:val="single" w:sz="2" w:space="0" w:color="FFC000"/>
              <w:right w:val="single" w:sz="4" w:space="0" w:color="FFC000"/>
            </w:tcBorders>
            <w:shd w:val="clear" w:color="auto" w:fill="FFFFFF" w:themeFill="background1"/>
            <w:vAlign w:val="center"/>
          </w:tcPr>
          <w:p w14:paraId="5A98EE65" w14:textId="77777777" w:rsidR="005563F0" w:rsidRPr="00B710C6"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n/a</w:t>
            </w:r>
          </w:p>
        </w:tc>
        <w:tc>
          <w:tcPr>
            <w:tcW w:w="501" w:type="pct"/>
            <w:tcBorders>
              <w:left w:val="single" w:sz="18" w:space="0" w:color="FFC000"/>
              <w:right w:val="single" w:sz="4" w:space="0" w:color="FFC000"/>
            </w:tcBorders>
            <w:shd w:val="clear" w:color="auto" w:fill="FFFFFF" w:themeFill="background1"/>
            <w:vAlign w:val="center"/>
          </w:tcPr>
          <w:p w14:paraId="37FE8916" w14:textId="77777777" w:rsidR="005563F0" w:rsidRPr="00AE3C09" w:rsidRDefault="005563F0" w:rsidP="006E3E50">
            <w:pPr>
              <w:tabs>
                <w:tab w:val="left" w:pos="284"/>
              </w:tabs>
              <w:spacing w:after="0"/>
              <w:jc w:val="right"/>
              <w:rPr>
                <w:rFonts w:eastAsiaTheme="minorEastAsia" w:cs="Calibri"/>
                <w:color w:val="003C96" w:themeColor="text2"/>
                <w:sz w:val="16"/>
                <w:szCs w:val="16"/>
                <w:vertAlign w:val="superscript"/>
                <w:lang w:val="en-GB"/>
              </w:rPr>
            </w:pPr>
            <w:r w:rsidRPr="00040D4E">
              <w:rPr>
                <w:rFonts w:eastAsiaTheme="minorEastAsia" w:cs="Calibri"/>
                <w:sz w:val="16"/>
                <w:szCs w:val="16"/>
                <w:lang w:val="en-GB"/>
              </w:rPr>
              <w:t>(511)</w:t>
            </w:r>
          </w:p>
        </w:tc>
        <w:tc>
          <w:tcPr>
            <w:tcW w:w="501" w:type="pct"/>
            <w:tcBorders>
              <w:left w:val="single" w:sz="4" w:space="0" w:color="FFC000"/>
              <w:right w:val="single" w:sz="4" w:space="0" w:color="FFC000"/>
            </w:tcBorders>
            <w:shd w:val="clear" w:color="auto" w:fill="FFFFFF" w:themeFill="background1"/>
            <w:vAlign w:val="center"/>
          </w:tcPr>
          <w:p w14:paraId="3ADDD627"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3</w:t>
            </w:r>
          </w:p>
        </w:tc>
        <w:tc>
          <w:tcPr>
            <w:tcW w:w="572" w:type="pct"/>
            <w:tcBorders>
              <w:left w:val="single" w:sz="4" w:space="0" w:color="FFC000"/>
              <w:right w:val="single" w:sz="4" w:space="0" w:color="FFC000"/>
            </w:tcBorders>
            <w:shd w:val="clear" w:color="auto" w:fill="FFFFFF" w:themeFill="background1"/>
            <w:vAlign w:val="center"/>
          </w:tcPr>
          <w:p w14:paraId="6B6D62BE" w14:textId="77777777" w:rsidR="005563F0" w:rsidRPr="00744269" w:rsidRDefault="005563F0" w:rsidP="006E3E50">
            <w:pPr>
              <w:tabs>
                <w:tab w:val="left" w:pos="284"/>
              </w:tabs>
              <w:spacing w:after="0"/>
              <w:jc w:val="right"/>
              <w:rPr>
                <w:rFonts w:eastAsiaTheme="minorEastAsia" w:cs="Calibri"/>
                <w:color w:val="003C96" w:themeColor="text2"/>
                <w:sz w:val="16"/>
                <w:szCs w:val="16"/>
                <w:lang w:val="en-GB"/>
              </w:rPr>
            </w:pPr>
            <w:r w:rsidRPr="00040D4E">
              <w:rPr>
                <w:rFonts w:eastAsiaTheme="minorEastAsia" w:cs="Calibri"/>
                <w:sz w:val="16"/>
                <w:szCs w:val="16"/>
                <w:lang w:val="en-GB"/>
              </w:rPr>
              <w:t>n/a</w:t>
            </w:r>
          </w:p>
        </w:tc>
      </w:tr>
      <w:tr w:rsidR="005563F0" w:rsidRPr="00037376" w14:paraId="60BC826D"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tcPr>
          <w:p w14:paraId="5741C1DF" w14:textId="77777777" w:rsidR="005563F0" w:rsidRPr="005744FA" w:rsidRDefault="005563F0" w:rsidP="006E3E50">
            <w:pPr>
              <w:tabs>
                <w:tab w:val="left" w:pos="284"/>
              </w:tabs>
              <w:spacing w:after="0"/>
              <w:rPr>
                <w:rFonts w:ascii="Calibri" w:eastAsiaTheme="minorEastAsia" w:hAnsi="Calibri" w:cs="Calibri"/>
                <w:sz w:val="16"/>
                <w:szCs w:val="16"/>
                <w:lang w:val="en-US"/>
              </w:rPr>
            </w:pPr>
          </w:p>
        </w:tc>
        <w:tc>
          <w:tcPr>
            <w:tcW w:w="465" w:type="pct"/>
            <w:tcBorders>
              <w:left w:val="single" w:sz="4" w:space="0" w:color="FFC000"/>
              <w:right w:val="single" w:sz="4" w:space="0" w:color="FFC000"/>
            </w:tcBorders>
            <w:shd w:val="clear" w:color="auto" w:fill="FFFFFF" w:themeFill="background1"/>
            <w:vAlign w:val="center"/>
          </w:tcPr>
          <w:p w14:paraId="10B767A0" w14:textId="77777777" w:rsidR="005563F0" w:rsidRPr="006C7864" w:rsidRDefault="005563F0" w:rsidP="006E3E50">
            <w:pPr>
              <w:tabs>
                <w:tab w:val="left" w:pos="284"/>
              </w:tabs>
              <w:spacing w:after="0"/>
              <w:jc w:val="right"/>
              <w:rPr>
                <w:rFonts w:eastAsiaTheme="minorEastAsia" w:cs="Calibri"/>
                <w:color w:val="FF0000"/>
                <w:sz w:val="16"/>
                <w:szCs w:val="16"/>
                <w:lang w:val="en-US"/>
              </w:rPr>
            </w:pPr>
          </w:p>
        </w:tc>
        <w:tc>
          <w:tcPr>
            <w:tcW w:w="465" w:type="pct"/>
            <w:tcBorders>
              <w:left w:val="single" w:sz="4" w:space="0" w:color="FFC000"/>
              <w:right w:val="single" w:sz="4" w:space="0" w:color="FFC000"/>
            </w:tcBorders>
            <w:shd w:val="clear" w:color="auto" w:fill="FFFFFF" w:themeFill="background1"/>
            <w:vAlign w:val="center"/>
          </w:tcPr>
          <w:p w14:paraId="670F0FE8" w14:textId="77777777" w:rsidR="005563F0" w:rsidRPr="006C7864" w:rsidRDefault="005563F0" w:rsidP="006E3E50">
            <w:pPr>
              <w:tabs>
                <w:tab w:val="left" w:pos="284"/>
              </w:tabs>
              <w:spacing w:after="0"/>
              <w:jc w:val="right"/>
              <w:rPr>
                <w:rFonts w:eastAsiaTheme="minorEastAsia" w:cs="Calibri"/>
                <w:color w:val="FF0000"/>
                <w:sz w:val="16"/>
                <w:szCs w:val="16"/>
                <w:lang w:val="en-US"/>
              </w:rPr>
            </w:pPr>
          </w:p>
        </w:tc>
        <w:tc>
          <w:tcPr>
            <w:tcW w:w="499" w:type="pct"/>
            <w:tcBorders>
              <w:left w:val="single" w:sz="2" w:space="0" w:color="FFC000"/>
              <w:right w:val="single" w:sz="4" w:space="0" w:color="FFC000"/>
            </w:tcBorders>
            <w:shd w:val="clear" w:color="auto" w:fill="FFFFFF" w:themeFill="background1"/>
            <w:vAlign w:val="center"/>
          </w:tcPr>
          <w:p w14:paraId="47E22C9E" w14:textId="77777777" w:rsidR="005563F0" w:rsidRPr="006C7864" w:rsidRDefault="005563F0" w:rsidP="006E3E50">
            <w:pPr>
              <w:tabs>
                <w:tab w:val="left" w:pos="284"/>
              </w:tabs>
              <w:spacing w:after="0"/>
              <w:jc w:val="right"/>
              <w:rPr>
                <w:rFonts w:eastAsiaTheme="minorEastAsia" w:cs="Calibri"/>
                <w:color w:val="FF0000"/>
                <w:sz w:val="16"/>
                <w:szCs w:val="16"/>
                <w:lang w:val="en-US"/>
              </w:rPr>
            </w:pPr>
          </w:p>
        </w:tc>
        <w:tc>
          <w:tcPr>
            <w:tcW w:w="501" w:type="pct"/>
            <w:tcBorders>
              <w:left w:val="single" w:sz="18" w:space="0" w:color="FFC000"/>
              <w:right w:val="single" w:sz="4" w:space="0" w:color="FFC000"/>
            </w:tcBorders>
            <w:shd w:val="clear" w:color="auto" w:fill="FFFFFF" w:themeFill="background1"/>
            <w:vAlign w:val="center"/>
          </w:tcPr>
          <w:p w14:paraId="4AD69478" w14:textId="77777777" w:rsidR="005563F0" w:rsidRPr="006C7864" w:rsidRDefault="005563F0" w:rsidP="006E3E50">
            <w:pPr>
              <w:tabs>
                <w:tab w:val="left" w:pos="284"/>
              </w:tabs>
              <w:spacing w:after="0"/>
              <w:jc w:val="right"/>
              <w:rPr>
                <w:rFonts w:eastAsiaTheme="minorEastAsia" w:cs="Calibri"/>
                <w:color w:val="FF0000"/>
                <w:sz w:val="16"/>
                <w:szCs w:val="16"/>
                <w:lang w:val="en-US"/>
              </w:rPr>
            </w:pPr>
          </w:p>
        </w:tc>
        <w:tc>
          <w:tcPr>
            <w:tcW w:w="501" w:type="pct"/>
            <w:tcBorders>
              <w:left w:val="single" w:sz="4" w:space="0" w:color="FFC000"/>
              <w:right w:val="single" w:sz="4" w:space="0" w:color="FFC000"/>
            </w:tcBorders>
            <w:shd w:val="clear" w:color="auto" w:fill="FFFFFF" w:themeFill="background1"/>
            <w:vAlign w:val="center"/>
          </w:tcPr>
          <w:p w14:paraId="250AAF17" w14:textId="77777777" w:rsidR="005563F0" w:rsidRPr="00744269" w:rsidRDefault="005563F0" w:rsidP="006E3E50">
            <w:pPr>
              <w:tabs>
                <w:tab w:val="left" w:pos="284"/>
              </w:tabs>
              <w:spacing w:after="0"/>
              <w:jc w:val="right"/>
              <w:rPr>
                <w:rFonts w:eastAsiaTheme="minorEastAsia" w:cs="Calibri"/>
                <w:color w:val="FF0000"/>
                <w:sz w:val="16"/>
                <w:szCs w:val="16"/>
                <w:lang w:val="en-US"/>
              </w:rPr>
            </w:pPr>
          </w:p>
        </w:tc>
        <w:tc>
          <w:tcPr>
            <w:tcW w:w="572" w:type="pct"/>
            <w:tcBorders>
              <w:left w:val="single" w:sz="4" w:space="0" w:color="FFC000"/>
              <w:right w:val="single" w:sz="4" w:space="0" w:color="FFC000"/>
            </w:tcBorders>
            <w:shd w:val="clear" w:color="auto" w:fill="FFFFFF" w:themeFill="background1"/>
            <w:vAlign w:val="center"/>
          </w:tcPr>
          <w:p w14:paraId="25EBC39F" w14:textId="77777777" w:rsidR="005563F0" w:rsidRPr="00744269" w:rsidRDefault="005563F0" w:rsidP="006E3E50">
            <w:pPr>
              <w:tabs>
                <w:tab w:val="left" w:pos="284"/>
              </w:tabs>
              <w:spacing w:after="0"/>
              <w:jc w:val="right"/>
              <w:rPr>
                <w:rFonts w:eastAsiaTheme="minorEastAsia" w:cs="Calibri"/>
                <w:color w:val="FF0000"/>
                <w:sz w:val="16"/>
                <w:szCs w:val="16"/>
                <w:lang w:val="en-US"/>
              </w:rPr>
            </w:pPr>
          </w:p>
        </w:tc>
      </w:tr>
      <w:tr w:rsidR="005563F0" w:rsidRPr="004825F8" w14:paraId="51801137" w14:textId="77777777" w:rsidTr="00BB6F70">
        <w:trPr>
          <w:trHeight w:val="280"/>
        </w:trPr>
        <w:tc>
          <w:tcPr>
            <w:tcW w:w="1998" w:type="pct"/>
            <w:tcBorders>
              <w:left w:val="single" w:sz="4" w:space="0" w:color="FFC000"/>
              <w:right w:val="single" w:sz="4" w:space="0" w:color="FFC000"/>
            </w:tcBorders>
            <w:shd w:val="clear" w:color="auto" w:fill="FFFFFF" w:themeFill="background1"/>
            <w:tcMar>
              <w:right w:w="113" w:type="dxa"/>
            </w:tcMar>
          </w:tcPr>
          <w:p w14:paraId="3AE47D5E" w14:textId="77777777" w:rsidR="005563F0" w:rsidRPr="00D837BC" w:rsidRDefault="005563F0" w:rsidP="006E3E50">
            <w:pPr>
              <w:tabs>
                <w:tab w:val="left" w:pos="284"/>
              </w:tabs>
              <w:spacing w:after="0"/>
              <w:rPr>
                <w:rFonts w:ascii="Calibri" w:eastAsiaTheme="minorEastAsia" w:hAnsi="Calibri" w:cs="Calibri"/>
                <w:sz w:val="16"/>
                <w:szCs w:val="16"/>
              </w:rPr>
            </w:pPr>
            <w:r w:rsidRPr="003844B2">
              <w:rPr>
                <w:rFonts w:ascii="Calibri" w:eastAsiaTheme="minorEastAsia" w:hAnsi="Calibri" w:cs="Calibri"/>
                <w:sz w:val="16"/>
                <w:szCs w:val="16"/>
              </w:rPr>
              <w:t xml:space="preserve">Δικαιώματα Μειοψηφίας από </w:t>
            </w:r>
            <w:proofErr w:type="spellStart"/>
            <w:r w:rsidRPr="003844B2">
              <w:rPr>
                <w:rFonts w:ascii="Calibri" w:eastAsiaTheme="minorEastAsia" w:hAnsi="Calibri" w:cs="Calibri"/>
                <w:sz w:val="16"/>
                <w:szCs w:val="16"/>
              </w:rPr>
              <w:t>Συνεχ</w:t>
            </w:r>
            <w:proofErr w:type="spellEnd"/>
            <w:r w:rsidRPr="003844B2">
              <w:rPr>
                <w:rFonts w:ascii="Calibri" w:eastAsiaTheme="minorEastAsia" w:hAnsi="Calibri" w:cs="Calibri"/>
                <w:sz w:val="16"/>
                <w:szCs w:val="16"/>
              </w:rPr>
              <w:t xml:space="preserve">. </w:t>
            </w:r>
            <w:proofErr w:type="spellStart"/>
            <w:r w:rsidRPr="003844B2">
              <w:rPr>
                <w:rFonts w:ascii="Calibri" w:eastAsiaTheme="minorEastAsia" w:hAnsi="Calibri" w:cs="Calibri"/>
                <w:sz w:val="16"/>
                <w:szCs w:val="16"/>
              </w:rPr>
              <w:t>Δραστ</w:t>
            </w:r>
            <w:proofErr w:type="spellEnd"/>
            <w:r w:rsidRPr="003844B2">
              <w:rPr>
                <w:rFonts w:ascii="Calibri" w:eastAsiaTheme="minorEastAsia" w:hAnsi="Calibri" w:cs="Calibri"/>
                <w:sz w:val="16"/>
                <w:szCs w:val="16"/>
              </w:rPr>
              <w:t>/τες</w:t>
            </w:r>
          </w:p>
        </w:tc>
        <w:tc>
          <w:tcPr>
            <w:tcW w:w="465" w:type="pct"/>
            <w:tcBorders>
              <w:left w:val="single" w:sz="4" w:space="0" w:color="FFC000"/>
              <w:right w:val="single" w:sz="4" w:space="0" w:color="FFC000"/>
            </w:tcBorders>
            <w:shd w:val="clear" w:color="auto" w:fill="FFFFFF" w:themeFill="background1"/>
            <w:vAlign w:val="center"/>
          </w:tcPr>
          <w:p w14:paraId="6AAA5CF5" w14:textId="77777777" w:rsidR="005563F0" w:rsidRPr="00B710C6"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(6)</w:t>
            </w:r>
          </w:p>
        </w:tc>
        <w:tc>
          <w:tcPr>
            <w:tcW w:w="465" w:type="pct"/>
            <w:tcBorders>
              <w:left w:val="single" w:sz="4" w:space="0" w:color="FFC000"/>
              <w:right w:val="single" w:sz="4" w:space="0" w:color="FFC000"/>
            </w:tcBorders>
            <w:shd w:val="clear" w:color="auto" w:fill="FFFFFF" w:themeFill="background1"/>
            <w:vAlign w:val="center"/>
          </w:tcPr>
          <w:p w14:paraId="24BD0CBB" w14:textId="77777777" w:rsidR="005563F0" w:rsidRPr="00B710C6"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w:t>
            </w:r>
          </w:p>
        </w:tc>
        <w:tc>
          <w:tcPr>
            <w:tcW w:w="499" w:type="pct"/>
            <w:tcBorders>
              <w:left w:val="single" w:sz="2" w:space="0" w:color="FFC000"/>
              <w:right w:val="single" w:sz="4" w:space="0" w:color="FFC000"/>
            </w:tcBorders>
            <w:shd w:val="clear" w:color="auto" w:fill="FFFFFF" w:themeFill="background1"/>
            <w:vAlign w:val="center"/>
          </w:tcPr>
          <w:p w14:paraId="039E20BA"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c>
          <w:tcPr>
            <w:tcW w:w="501" w:type="pct"/>
            <w:tcBorders>
              <w:left w:val="single" w:sz="18" w:space="0" w:color="FFC000"/>
              <w:right w:val="single" w:sz="4" w:space="0" w:color="FFC000"/>
            </w:tcBorders>
            <w:shd w:val="clear" w:color="auto" w:fill="FFFFFF" w:themeFill="background1"/>
            <w:vAlign w:val="center"/>
          </w:tcPr>
          <w:p w14:paraId="645A3B49"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(4)</w:t>
            </w:r>
          </w:p>
        </w:tc>
        <w:tc>
          <w:tcPr>
            <w:tcW w:w="501" w:type="pct"/>
            <w:tcBorders>
              <w:left w:val="single" w:sz="4" w:space="0" w:color="FFC000"/>
              <w:right w:val="single" w:sz="4" w:space="0" w:color="FFC000"/>
            </w:tcBorders>
            <w:shd w:val="clear" w:color="auto" w:fill="FFFFFF" w:themeFill="background1"/>
            <w:vAlign w:val="center"/>
          </w:tcPr>
          <w:p w14:paraId="74A156CD"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0</w:t>
            </w:r>
          </w:p>
        </w:tc>
        <w:tc>
          <w:tcPr>
            <w:tcW w:w="572" w:type="pct"/>
            <w:tcBorders>
              <w:left w:val="single" w:sz="4" w:space="0" w:color="FFC000"/>
              <w:right w:val="single" w:sz="4" w:space="0" w:color="FFC000"/>
            </w:tcBorders>
            <w:shd w:val="clear" w:color="auto" w:fill="FFFFFF" w:themeFill="background1"/>
            <w:vAlign w:val="center"/>
          </w:tcPr>
          <w:p w14:paraId="6C8BFD44" w14:textId="77777777" w:rsidR="005563F0"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r>
      <w:tr w:rsidR="005563F0" w:rsidRPr="005744FA" w14:paraId="20165BB5" w14:textId="77777777" w:rsidTr="003B30B9">
        <w:trPr>
          <w:trHeight w:val="124"/>
        </w:trPr>
        <w:tc>
          <w:tcPr>
            <w:tcW w:w="1998" w:type="pct"/>
            <w:tcBorders>
              <w:left w:val="single" w:sz="4" w:space="0" w:color="FFC000"/>
              <w:bottom w:val="single" w:sz="18" w:space="0" w:color="3A73AE" w:themeColor="accent1"/>
              <w:right w:val="single" w:sz="4" w:space="0" w:color="FFC000"/>
            </w:tcBorders>
            <w:shd w:val="clear" w:color="auto" w:fill="FFFFFF" w:themeFill="background1"/>
            <w:tcMar>
              <w:right w:w="113" w:type="dxa"/>
            </w:tcMar>
          </w:tcPr>
          <w:p w14:paraId="39213A08" w14:textId="77777777" w:rsidR="005563F0" w:rsidRPr="005744FA" w:rsidRDefault="005563F0" w:rsidP="006E3E50">
            <w:pPr>
              <w:tabs>
                <w:tab w:val="left" w:pos="284"/>
              </w:tabs>
              <w:spacing w:after="0"/>
              <w:rPr>
                <w:rFonts w:eastAsiaTheme="minorEastAsia" w:cs="Calibri"/>
                <w:sz w:val="16"/>
                <w:szCs w:val="16"/>
                <w:lang w:val="en-US"/>
              </w:rPr>
            </w:pPr>
            <w:r w:rsidRPr="003844B2">
              <w:rPr>
                <w:rFonts w:ascii="Calibri" w:eastAsiaTheme="minorEastAsia" w:hAnsi="Calibri" w:cs="Calibri"/>
                <w:sz w:val="16"/>
                <w:szCs w:val="16"/>
                <w:lang w:val="en-US"/>
              </w:rPr>
              <w:t>Απ</w:t>
            </w:r>
            <w:proofErr w:type="spellStart"/>
            <w:r w:rsidRPr="003844B2">
              <w:rPr>
                <w:rFonts w:ascii="Calibri" w:eastAsiaTheme="minorEastAsia" w:hAnsi="Calibri" w:cs="Calibri"/>
                <w:sz w:val="16"/>
                <w:szCs w:val="16"/>
                <w:lang w:val="en-US"/>
              </w:rPr>
              <w:t>οτελέσμ</w:t>
            </w:r>
            <w:proofErr w:type="spellEnd"/>
            <w:r w:rsidRPr="003844B2">
              <w:rPr>
                <w:rFonts w:ascii="Calibri" w:eastAsiaTheme="minorEastAsia" w:hAnsi="Calibri" w:cs="Calibri"/>
                <w:sz w:val="16"/>
                <w:szCs w:val="16"/>
                <w:lang w:val="en-US"/>
              </w:rPr>
              <w:t xml:space="preserve">ατα </w:t>
            </w:r>
            <w:proofErr w:type="spellStart"/>
            <w:r w:rsidRPr="003844B2">
              <w:rPr>
                <w:rFonts w:ascii="Calibri" w:eastAsiaTheme="minorEastAsia" w:hAnsi="Calibri" w:cs="Calibri"/>
                <w:sz w:val="16"/>
                <w:szCs w:val="16"/>
                <w:lang w:val="en-US"/>
              </w:rPr>
              <w:t>Δι</w:t>
            </w:r>
            <w:proofErr w:type="spellEnd"/>
            <w:r w:rsidRPr="003844B2">
              <w:rPr>
                <w:rFonts w:ascii="Calibri" w:eastAsiaTheme="minorEastAsia" w:hAnsi="Calibri" w:cs="Calibri"/>
                <w:sz w:val="16"/>
                <w:szCs w:val="16"/>
                <w:lang w:val="en-US"/>
              </w:rPr>
              <w:t xml:space="preserve">ακοπτόμενων </w:t>
            </w:r>
            <w:proofErr w:type="spellStart"/>
            <w:r w:rsidRPr="003844B2">
              <w:rPr>
                <w:rFonts w:ascii="Calibri" w:eastAsiaTheme="minorEastAsia" w:hAnsi="Calibri" w:cs="Calibri"/>
                <w:sz w:val="16"/>
                <w:szCs w:val="16"/>
                <w:lang w:val="en-US"/>
              </w:rPr>
              <w:t>Δρ</w:t>
            </w:r>
            <w:proofErr w:type="spellEnd"/>
            <w:r w:rsidRPr="003844B2">
              <w:rPr>
                <w:rFonts w:ascii="Calibri" w:eastAsiaTheme="minorEastAsia" w:hAnsi="Calibri" w:cs="Calibri"/>
                <w:sz w:val="16"/>
                <w:szCs w:val="16"/>
                <w:lang w:val="en-US"/>
              </w:rPr>
              <w:t>αστηριοτήτων</w:t>
            </w:r>
          </w:p>
        </w:tc>
        <w:tc>
          <w:tcPr>
            <w:tcW w:w="465" w:type="pct"/>
            <w:tcBorders>
              <w:left w:val="single" w:sz="4" w:space="0" w:color="FFC000"/>
              <w:bottom w:val="single" w:sz="18" w:space="0" w:color="3A73AE" w:themeColor="accent1"/>
              <w:right w:val="single" w:sz="4" w:space="0" w:color="FFC000"/>
            </w:tcBorders>
            <w:shd w:val="clear" w:color="auto" w:fill="FFFFFF" w:themeFill="background1"/>
            <w:vAlign w:val="center"/>
          </w:tcPr>
          <w:p w14:paraId="4ABC1095"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(10)</w:t>
            </w:r>
          </w:p>
        </w:tc>
        <w:tc>
          <w:tcPr>
            <w:tcW w:w="465" w:type="pct"/>
            <w:tcBorders>
              <w:left w:val="single" w:sz="4" w:space="0" w:color="FFC000"/>
              <w:bottom w:val="single" w:sz="18" w:space="0" w:color="3A73AE" w:themeColor="accent1"/>
              <w:right w:val="single" w:sz="4" w:space="0" w:color="FFC000"/>
            </w:tcBorders>
            <w:shd w:val="clear" w:color="auto" w:fill="FFFFFF" w:themeFill="background1"/>
            <w:vAlign w:val="center"/>
          </w:tcPr>
          <w:p w14:paraId="2BD50F81"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10</w:t>
            </w:r>
          </w:p>
        </w:tc>
        <w:tc>
          <w:tcPr>
            <w:tcW w:w="499" w:type="pct"/>
            <w:tcBorders>
              <w:left w:val="single" w:sz="2" w:space="0" w:color="FFC000"/>
              <w:bottom w:val="single" w:sz="18" w:space="0" w:color="3A73AE" w:themeColor="accent1"/>
              <w:right w:val="single" w:sz="4" w:space="0" w:color="FFC000"/>
            </w:tcBorders>
            <w:shd w:val="clear" w:color="auto" w:fill="FFFFFF" w:themeFill="background1"/>
            <w:vAlign w:val="center"/>
          </w:tcPr>
          <w:p w14:paraId="27C08681"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c>
          <w:tcPr>
            <w:tcW w:w="501" w:type="pct"/>
            <w:tcBorders>
              <w:left w:val="single" w:sz="18" w:space="0" w:color="FFC000"/>
              <w:bottom w:val="single" w:sz="18" w:space="0" w:color="3A73AE" w:themeColor="accent1"/>
              <w:right w:val="single" w:sz="4" w:space="0" w:color="FFC000"/>
            </w:tcBorders>
            <w:shd w:val="clear" w:color="auto" w:fill="FFFFFF" w:themeFill="background1"/>
            <w:vAlign w:val="center"/>
          </w:tcPr>
          <w:p w14:paraId="1FF4D703" w14:textId="77777777" w:rsidR="005563F0" w:rsidRPr="004F4AFD"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(3)</w:t>
            </w:r>
          </w:p>
        </w:tc>
        <w:tc>
          <w:tcPr>
            <w:tcW w:w="501" w:type="pct"/>
            <w:tcBorders>
              <w:left w:val="single" w:sz="4" w:space="0" w:color="FFC000"/>
              <w:bottom w:val="single" w:sz="18" w:space="0" w:color="3A73AE" w:themeColor="accent1"/>
              <w:right w:val="single" w:sz="4" w:space="0" w:color="FFC000"/>
            </w:tcBorders>
            <w:shd w:val="clear" w:color="auto" w:fill="FFFFFF" w:themeFill="background1"/>
            <w:vAlign w:val="center"/>
          </w:tcPr>
          <w:p w14:paraId="0EE940E5"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(2)</w:t>
            </w:r>
          </w:p>
        </w:tc>
        <w:tc>
          <w:tcPr>
            <w:tcW w:w="572" w:type="pct"/>
            <w:tcBorders>
              <w:left w:val="single" w:sz="4" w:space="0" w:color="FFC000"/>
              <w:bottom w:val="single" w:sz="18" w:space="0" w:color="3A73AE" w:themeColor="accent1"/>
              <w:right w:val="single" w:sz="4" w:space="0" w:color="FFC000"/>
            </w:tcBorders>
            <w:shd w:val="clear" w:color="auto" w:fill="FFFFFF" w:themeFill="background1"/>
            <w:vAlign w:val="center"/>
          </w:tcPr>
          <w:p w14:paraId="256B4A83" w14:textId="77777777" w:rsidR="005563F0" w:rsidRPr="00744269" w:rsidRDefault="005563F0" w:rsidP="006E3E50">
            <w:pPr>
              <w:tabs>
                <w:tab w:val="left" w:pos="284"/>
              </w:tabs>
              <w:spacing w:after="0"/>
              <w:jc w:val="right"/>
              <w:rPr>
                <w:rFonts w:eastAsiaTheme="minorEastAsia" w:cs="Calibri"/>
                <w:sz w:val="16"/>
                <w:szCs w:val="16"/>
                <w:lang w:val="en-US"/>
              </w:rPr>
            </w:pPr>
            <w:r>
              <w:rPr>
                <w:rFonts w:eastAsiaTheme="minorEastAsia" w:cs="Calibri"/>
                <w:sz w:val="16"/>
                <w:szCs w:val="16"/>
                <w:lang w:val="en-US"/>
              </w:rPr>
              <w:t>n/a</w:t>
            </w:r>
          </w:p>
        </w:tc>
      </w:tr>
    </w:tbl>
    <w:p w14:paraId="14C8F99C" w14:textId="77777777" w:rsidR="005C2FB3" w:rsidRDefault="005C2FB3">
      <w:pPr>
        <w:rPr>
          <w:rFonts w:eastAsiaTheme="minorEastAsia" w:cs="Calibri"/>
          <w:color w:val="FF0000"/>
          <w:sz w:val="28"/>
          <w:szCs w:val="28"/>
          <w:lang w:val="en-US"/>
        </w:rPr>
      </w:pPr>
    </w:p>
    <w:p w14:paraId="7B877761" w14:textId="0C611F6A" w:rsidR="003B30B9" w:rsidRDefault="005563F0" w:rsidP="00337141">
      <w:pPr>
        <w:numPr>
          <w:ilvl w:val="0"/>
          <w:numId w:val="9"/>
        </w:numPr>
        <w:tabs>
          <w:tab w:val="left" w:pos="8262"/>
        </w:tabs>
        <w:spacing w:before="160" w:after="0" w:line="264" w:lineRule="auto"/>
        <w:ind w:left="-1560" w:right="424" w:hanging="283"/>
        <w:contextualSpacing/>
        <w:jc w:val="both"/>
        <w:rPr>
          <w:rFonts w:eastAsiaTheme="minorEastAsia" w:cstheme="majorHAnsi"/>
          <w:sz w:val="12"/>
          <w:szCs w:val="14"/>
        </w:rPr>
      </w:pPr>
      <w:r w:rsidRPr="003B30B9">
        <w:rPr>
          <w:rFonts w:eastAsiaTheme="minorEastAsia" w:cstheme="majorHAnsi"/>
          <w:sz w:val="12"/>
          <w:szCs w:val="14"/>
        </w:rPr>
        <w:t xml:space="preserve">Τα </w:t>
      </w:r>
      <w:r w:rsidR="00BC5FB6" w:rsidRPr="003B30B9">
        <w:rPr>
          <w:rFonts w:eastAsiaTheme="minorEastAsia" w:cstheme="majorHAnsi"/>
          <w:sz w:val="12"/>
          <w:szCs w:val="14"/>
        </w:rPr>
        <w:t>εφάπαξ</w:t>
      </w:r>
      <w:r w:rsidRPr="003B30B9">
        <w:rPr>
          <w:rFonts w:eastAsiaTheme="minorEastAsia" w:cstheme="majorHAnsi"/>
          <w:sz w:val="12"/>
          <w:szCs w:val="14"/>
        </w:rPr>
        <w:t xml:space="preserve"> στοιχεία αναφέρονται (α) στο κέρδος από τη διάθεση της εσωτερικής πλατφόρμας </w:t>
      </w:r>
      <w:r w:rsidR="00182520">
        <w:rPr>
          <w:rFonts w:eastAsiaTheme="minorEastAsia" w:cstheme="majorHAnsi"/>
          <w:sz w:val="12"/>
          <w:szCs w:val="14"/>
        </w:rPr>
        <w:t>διαχείρισης</w:t>
      </w:r>
      <w:r w:rsidRPr="003B30B9">
        <w:rPr>
          <w:rFonts w:eastAsiaTheme="minorEastAsia" w:cstheme="majorHAnsi"/>
          <w:sz w:val="12"/>
          <w:szCs w:val="14"/>
        </w:rPr>
        <w:t xml:space="preserve"> </w:t>
      </w:r>
      <w:r w:rsidR="00182520">
        <w:rPr>
          <w:rFonts w:eastAsiaTheme="minorEastAsia" w:cstheme="majorHAnsi"/>
          <w:sz w:val="12"/>
          <w:szCs w:val="14"/>
          <w:lang w:val="en-US"/>
        </w:rPr>
        <w:t>NPEs</w:t>
      </w:r>
      <w:r w:rsidRPr="003B30B9">
        <w:rPr>
          <w:rFonts w:eastAsiaTheme="minorEastAsia" w:cstheme="majorHAnsi"/>
          <w:sz w:val="12"/>
          <w:szCs w:val="14"/>
        </w:rPr>
        <w:t xml:space="preserve"> στην </w:t>
      </w:r>
      <w:proofErr w:type="spellStart"/>
      <w:r w:rsidRPr="003B30B9">
        <w:rPr>
          <w:rFonts w:eastAsiaTheme="minorEastAsia" w:cstheme="majorHAnsi"/>
          <w:sz w:val="12"/>
          <w:szCs w:val="14"/>
        </w:rPr>
        <w:t>Intrum</w:t>
      </w:r>
      <w:proofErr w:type="spellEnd"/>
      <w:r w:rsidRPr="003B30B9">
        <w:rPr>
          <w:rFonts w:eastAsiaTheme="minorEastAsia" w:cstheme="majorHAnsi"/>
          <w:sz w:val="12"/>
          <w:szCs w:val="14"/>
        </w:rPr>
        <w:t xml:space="preserve"> ύψους </w:t>
      </w:r>
      <w:r w:rsidR="00BC5FB6" w:rsidRPr="003B30B9">
        <w:rPr>
          <w:rFonts w:eastAsiaTheme="minorEastAsia" w:cstheme="majorHAnsi"/>
          <w:sz w:val="12"/>
          <w:szCs w:val="14"/>
        </w:rPr>
        <w:t>€</w:t>
      </w:r>
      <w:r w:rsidRPr="003B30B9">
        <w:rPr>
          <w:rFonts w:eastAsiaTheme="minorEastAsia" w:cstheme="majorHAnsi"/>
          <w:sz w:val="12"/>
          <w:szCs w:val="14"/>
        </w:rPr>
        <w:t>351 εκατ. σ</w:t>
      </w:r>
      <w:r w:rsidR="00BC5FB6" w:rsidRPr="003B30B9">
        <w:rPr>
          <w:rFonts w:eastAsiaTheme="minorEastAsia" w:cstheme="majorHAnsi"/>
          <w:sz w:val="12"/>
          <w:szCs w:val="14"/>
        </w:rPr>
        <w:t>τη</w:t>
      </w:r>
      <w:r w:rsidRPr="003B30B9">
        <w:rPr>
          <w:rFonts w:eastAsiaTheme="minorEastAsia" w:cstheme="majorHAnsi"/>
          <w:sz w:val="12"/>
          <w:szCs w:val="14"/>
        </w:rPr>
        <w:t xml:space="preserve"> </w:t>
      </w:r>
      <w:r w:rsidR="00BC5FB6" w:rsidRPr="003B30B9">
        <w:rPr>
          <w:rFonts w:eastAsiaTheme="minorEastAsia" w:cstheme="majorHAnsi"/>
          <w:sz w:val="12"/>
          <w:szCs w:val="14"/>
        </w:rPr>
        <w:t xml:space="preserve">γραμμή εσόδων </w:t>
      </w:r>
      <w:r w:rsidRPr="003B30B9">
        <w:rPr>
          <w:rFonts w:eastAsiaTheme="minorEastAsia" w:cstheme="majorHAnsi"/>
          <w:sz w:val="12"/>
          <w:szCs w:val="14"/>
        </w:rPr>
        <w:t xml:space="preserve">από συναλλαγές το 2019, (β) </w:t>
      </w:r>
      <w:r w:rsidR="00BC5FB6" w:rsidRPr="003B30B9">
        <w:rPr>
          <w:rFonts w:eastAsiaTheme="minorEastAsia" w:cstheme="majorHAnsi"/>
          <w:sz w:val="12"/>
          <w:szCs w:val="14"/>
        </w:rPr>
        <w:t>στο κ</w:t>
      </w:r>
      <w:r w:rsidRPr="003B30B9">
        <w:rPr>
          <w:rFonts w:eastAsiaTheme="minorEastAsia" w:cstheme="majorHAnsi"/>
          <w:sz w:val="12"/>
          <w:szCs w:val="14"/>
        </w:rPr>
        <w:t xml:space="preserve">όστος </w:t>
      </w:r>
      <w:r w:rsidR="00BC5FB6" w:rsidRPr="003B30B9">
        <w:rPr>
          <w:rFonts w:eastAsiaTheme="minorEastAsia" w:cstheme="majorHAnsi"/>
          <w:sz w:val="12"/>
          <w:szCs w:val="14"/>
        </w:rPr>
        <w:t>προγράμματος αποχώρησης €</w:t>
      </w:r>
      <w:r w:rsidRPr="003B30B9">
        <w:rPr>
          <w:rFonts w:eastAsiaTheme="minorEastAsia" w:cstheme="majorHAnsi"/>
          <w:sz w:val="12"/>
          <w:szCs w:val="14"/>
        </w:rPr>
        <w:t xml:space="preserve">36 εκατ. το 2019 και </w:t>
      </w:r>
      <w:r w:rsidR="00BC5FB6" w:rsidRPr="003B30B9">
        <w:rPr>
          <w:rFonts w:eastAsiaTheme="minorEastAsia" w:cstheme="majorHAnsi"/>
          <w:sz w:val="12"/>
          <w:szCs w:val="14"/>
        </w:rPr>
        <w:t>€</w:t>
      </w:r>
      <w:r w:rsidRPr="003B30B9">
        <w:rPr>
          <w:rFonts w:eastAsiaTheme="minorEastAsia" w:cstheme="majorHAnsi"/>
          <w:sz w:val="12"/>
          <w:szCs w:val="14"/>
        </w:rPr>
        <w:t xml:space="preserve">147 εκατ. το 2020 στο κόστος προσωπικού, (γ) μη επαναλαμβανόμενη </w:t>
      </w:r>
      <w:proofErr w:type="spellStart"/>
      <w:r w:rsidRPr="003B30B9">
        <w:rPr>
          <w:rFonts w:eastAsiaTheme="minorEastAsia" w:cstheme="majorHAnsi"/>
          <w:sz w:val="12"/>
          <w:szCs w:val="14"/>
        </w:rPr>
        <w:t>απομείωση</w:t>
      </w:r>
      <w:proofErr w:type="spellEnd"/>
      <w:r w:rsidRPr="003B30B9">
        <w:rPr>
          <w:rFonts w:eastAsiaTheme="minorEastAsia" w:cstheme="majorHAnsi"/>
          <w:sz w:val="12"/>
          <w:szCs w:val="14"/>
        </w:rPr>
        <w:t xml:space="preserve"> δανείων και άλλων περιουσιακών στοιχείων για περιπτώσεις / χαρτοφυλάκια που επηρεάστηκαν από το COVID-19 και </w:t>
      </w:r>
      <w:proofErr w:type="spellStart"/>
      <w:r w:rsidRPr="003B30B9">
        <w:rPr>
          <w:rFonts w:eastAsiaTheme="minorEastAsia" w:cstheme="majorHAnsi"/>
          <w:sz w:val="12"/>
          <w:szCs w:val="14"/>
        </w:rPr>
        <w:t>απομείωση</w:t>
      </w:r>
      <w:proofErr w:type="spellEnd"/>
      <w:r w:rsidRPr="003B30B9">
        <w:rPr>
          <w:rFonts w:eastAsiaTheme="minorEastAsia" w:cstheme="majorHAnsi"/>
          <w:sz w:val="12"/>
          <w:szCs w:val="14"/>
        </w:rPr>
        <w:t xml:space="preserve"> </w:t>
      </w:r>
      <w:r w:rsidR="00E83852" w:rsidRPr="003B30B9">
        <w:rPr>
          <w:rFonts w:eastAsiaTheme="minorEastAsia" w:cstheme="majorHAnsi"/>
          <w:sz w:val="12"/>
          <w:szCs w:val="14"/>
        </w:rPr>
        <w:t xml:space="preserve">στο πλαίσιο του νέου πλάνου μείωσης </w:t>
      </w:r>
      <w:proofErr w:type="spellStart"/>
      <w:r w:rsidR="00182520">
        <w:rPr>
          <w:rFonts w:eastAsiaTheme="minorEastAsia" w:cstheme="majorHAnsi"/>
          <w:sz w:val="12"/>
          <w:szCs w:val="14"/>
        </w:rPr>
        <w:t>NPEs</w:t>
      </w:r>
      <w:proofErr w:type="spellEnd"/>
      <w:r w:rsidRPr="003B30B9">
        <w:rPr>
          <w:rFonts w:eastAsiaTheme="minorEastAsia" w:cstheme="majorHAnsi"/>
          <w:sz w:val="12"/>
          <w:szCs w:val="14"/>
        </w:rPr>
        <w:t xml:space="preserve"> συνολικού ποσού </w:t>
      </w:r>
      <w:r w:rsidR="00E83852" w:rsidRPr="003B30B9">
        <w:rPr>
          <w:rFonts w:eastAsiaTheme="minorEastAsia" w:cstheme="majorHAnsi"/>
          <w:sz w:val="12"/>
          <w:szCs w:val="14"/>
        </w:rPr>
        <w:t>€695</w:t>
      </w:r>
      <w:r w:rsidRPr="003B30B9">
        <w:rPr>
          <w:rFonts w:eastAsiaTheme="minorEastAsia" w:cstheme="majorHAnsi"/>
          <w:sz w:val="12"/>
          <w:szCs w:val="14"/>
        </w:rPr>
        <w:t xml:space="preserve"> εκατ. το 2020</w:t>
      </w:r>
    </w:p>
    <w:p w14:paraId="4D69CA16" w14:textId="50D44C7F" w:rsidR="007E4699" w:rsidRPr="003B30B9" w:rsidRDefault="005563F0" w:rsidP="00337141">
      <w:pPr>
        <w:numPr>
          <w:ilvl w:val="0"/>
          <w:numId w:val="9"/>
        </w:numPr>
        <w:tabs>
          <w:tab w:val="left" w:pos="8262"/>
        </w:tabs>
        <w:spacing w:before="160" w:after="0" w:line="264" w:lineRule="auto"/>
        <w:ind w:left="-1560" w:right="424" w:hanging="283"/>
        <w:contextualSpacing/>
        <w:jc w:val="both"/>
        <w:rPr>
          <w:rFonts w:eastAsiaTheme="minorEastAsia" w:cstheme="majorHAnsi"/>
          <w:sz w:val="12"/>
          <w:szCs w:val="14"/>
        </w:rPr>
      </w:pPr>
      <w:r w:rsidRPr="003B30B9">
        <w:rPr>
          <w:rFonts w:eastAsiaTheme="minorEastAsia" w:cstheme="majorHAnsi"/>
          <w:sz w:val="12"/>
          <w:szCs w:val="14"/>
        </w:rPr>
        <w:t xml:space="preserve">Η συγκρίσιμη απεικόνιση λαμβάνει υπόψη τα στοιχεία ενεργητικού που βρίσκονται υπό τις διαχειριστικές αμοιβές που καταβάλλονται στον </w:t>
      </w:r>
      <w:r w:rsidRPr="003B30B9">
        <w:rPr>
          <w:rFonts w:eastAsiaTheme="minorEastAsia" w:cstheme="majorHAnsi"/>
          <w:sz w:val="12"/>
          <w:szCs w:val="14"/>
          <w:lang w:val="en-US"/>
        </w:rPr>
        <w:t>NPE</w:t>
      </w:r>
      <w:r w:rsidRPr="003B30B9">
        <w:rPr>
          <w:rFonts w:eastAsiaTheme="minorEastAsia" w:cstheme="majorHAnsi"/>
          <w:sz w:val="12"/>
          <w:szCs w:val="14"/>
        </w:rPr>
        <w:t xml:space="preserve"> </w:t>
      </w:r>
      <w:r w:rsidRPr="003B30B9">
        <w:rPr>
          <w:rFonts w:eastAsiaTheme="minorEastAsia" w:cstheme="majorHAnsi"/>
          <w:sz w:val="12"/>
          <w:szCs w:val="14"/>
          <w:lang w:val="en-US"/>
        </w:rPr>
        <w:t>servicer</w:t>
      </w:r>
      <w:r w:rsidRPr="003B30B9">
        <w:rPr>
          <w:rFonts w:eastAsiaTheme="minorEastAsia" w:cstheme="majorHAnsi"/>
          <w:sz w:val="12"/>
          <w:szCs w:val="14"/>
        </w:rPr>
        <w:t xml:space="preserve">, οι οποίες με την σειρά τους λογίστηκαν στα διοικητικά έξοδα για 3,5 μήνες το 2019, ενώ το 2020 ήταν η πρώτη χρονιά με 12-μηνη </w:t>
      </w:r>
      <w:proofErr w:type="spellStart"/>
      <w:r w:rsidRPr="003B30B9">
        <w:rPr>
          <w:rFonts w:eastAsiaTheme="minorEastAsia" w:cstheme="majorHAnsi"/>
          <w:sz w:val="12"/>
          <w:szCs w:val="14"/>
        </w:rPr>
        <w:t>λογιστικοποίηση</w:t>
      </w:r>
      <w:proofErr w:type="spellEnd"/>
    </w:p>
    <w:p w14:paraId="0B7AAE54" w14:textId="12063C9B" w:rsidR="00FB5E4C" w:rsidRDefault="00D837BC" w:rsidP="0015017D">
      <w:pPr>
        <w:spacing w:after="0" w:line="240" w:lineRule="auto"/>
        <w:ind w:left="-1980" w:right="-97"/>
        <w:jc w:val="right"/>
        <w:rPr>
          <w:rFonts w:eastAsia="Times New Roman" w:cs="Calibri"/>
          <w:sz w:val="27"/>
          <w:szCs w:val="27"/>
        </w:rPr>
      </w:pPr>
      <w:r w:rsidRPr="0015017D">
        <w:rPr>
          <w:rFonts w:eastAsia="Times New Roman" w:cs="Calibri"/>
          <w:sz w:val="27"/>
          <w:szCs w:val="27"/>
        </w:rPr>
        <w:lastRenderedPageBreak/>
        <w:t>ΓΛΩΣΣΑΡΙ / ΕΝΑΛΛΑΚΤΙΚOI ΔΕΙΚΤΕΣ ΜΕΤΡΗΣΗΣ ΑΠΟΔΟΣΗΣ (ΕΔΜΑ) ΣΕ ΕΠΙΠΕΔΟ ΟΜΙΛΟΥ</w:t>
      </w:r>
    </w:p>
    <w:p w14:paraId="144FC7FB" w14:textId="77777777" w:rsidR="0015017D" w:rsidRPr="0015017D" w:rsidRDefault="0015017D" w:rsidP="0015017D">
      <w:pPr>
        <w:spacing w:after="0" w:line="240" w:lineRule="auto"/>
        <w:ind w:left="-1980" w:right="-97"/>
        <w:jc w:val="right"/>
        <w:rPr>
          <w:rFonts w:eastAsia="Times New Roman" w:cs="Calibri"/>
          <w:sz w:val="27"/>
          <w:szCs w:val="27"/>
        </w:rPr>
      </w:pPr>
    </w:p>
    <w:tbl>
      <w:tblPr>
        <w:tblW w:w="9097" w:type="dxa"/>
        <w:tblInd w:w="-1005" w:type="dxa"/>
        <w:tblBorders>
          <w:top w:val="outset" w:sz="6" w:space="0" w:color="auto"/>
          <w:left w:val="outset" w:sz="6" w:space="0" w:color="auto"/>
          <w:bottom w:val="outset" w:sz="6" w:space="0" w:color="auto"/>
          <w:right w:val="outset" w:sz="6" w:space="0" w:color="auto"/>
        </w:tblBorders>
        <w:tblLayout w:type="fixed"/>
        <w:tblCellMar>
          <w:top w:w="57" w:type="dxa"/>
          <w:left w:w="57" w:type="dxa"/>
          <w:right w:w="0" w:type="dxa"/>
        </w:tblCellMar>
        <w:tblLook w:val="04A0" w:firstRow="1" w:lastRow="0" w:firstColumn="1" w:lastColumn="0" w:noHBand="0" w:noVBand="1"/>
      </w:tblPr>
      <w:tblGrid>
        <w:gridCol w:w="399"/>
        <w:gridCol w:w="2398"/>
        <w:gridCol w:w="6300"/>
      </w:tblGrid>
      <w:tr w:rsidR="006B036E" w:rsidRPr="006B036E" w14:paraId="5498D7E9" w14:textId="77777777" w:rsidTr="006B036E">
        <w:trPr>
          <w:trHeight w:val="236"/>
          <w:tblHeader/>
        </w:trPr>
        <w:tc>
          <w:tcPr>
            <w:tcW w:w="399" w:type="dxa"/>
            <w:tcBorders>
              <w:top w:val="single" w:sz="6" w:space="0" w:color="3A73AE"/>
              <w:left w:val="single" w:sz="6" w:space="0" w:color="3A73AE"/>
              <w:bottom w:val="single" w:sz="6" w:space="0" w:color="3A73AE"/>
              <w:right w:val="single" w:sz="6" w:space="0" w:color="3A73AE"/>
            </w:tcBorders>
            <w:shd w:val="clear" w:color="auto" w:fill="3A73AE" w:themeFill="accent1"/>
            <w:vAlign w:val="center"/>
            <w:hideMark/>
          </w:tcPr>
          <w:p w14:paraId="7C7E9079" w14:textId="77777777" w:rsidR="00787C9F" w:rsidRPr="006B036E" w:rsidRDefault="00787C9F" w:rsidP="00787C9F">
            <w:pPr>
              <w:jc w:val="center"/>
              <w:rPr>
                <w:rFonts w:cstheme="minorHAnsi"/>
                <w:color w:val="FFFFFF" w:themeColor="background1"/>
                <w:sz w:val="16"/>
                <w:szCs w:val="16"/>
              </w:rPr>
            </w:pPr>
            <w:r w:rsidRPr="006B036E">
              <w:rPr>
                <w:rFonts w:cstheme="minorHAnsi"/>
                <w:b/>
                <w:bCs/>
                <w:color w:val="FFFFFF" w:themeColor="background1"/>
                <w:sz w:val="16"/>
                <w:szCs w:val="16"/>
                <w:lang w:val="en-US"/>
              </w:rPr>
              <w:t>#</w:t>
            </w:r>
          </w:p>
        </w:tc>
        <w:tc>
          <w:tcPr>
            <w:tcW w:w="2398" w:type="dxa"/>
            <w:tcBorders>
              <w:top w:val="single" w:sz="6" w:space="0" w:color="3A73AE"/>
              <w:left w:val="nil"/>
              <w:bottom w:val="single" w:sz="6" w:space="0" w:color="3A73AE"/>
              <w:right w:val="single" w:sz="6" w:space="0" w:color="3A73AE"/>
            </w:tcBorders>
            <w:shd w:val="clear" w:color="auto" w:fill="3A73AE" w:themeFill="accent1"/>
            <w:vAlign w:val="bottom"/>
            <w:hideMark/>
          </w:tcPr>
          <w:p w14:paraId="1E79687F" w14:textId="77777777" w:rsidR="00787C9F" w:rsidRPr="006B036E" w:rsidRDefault="00787C9F" w:rsidP="00787C9F">
            <w:pPr>
              <w:rPr>
                <w:rFonts w:cstheme="minorHAnsi"/>
                <w:color w:val="FFFFFF" w:themeColor="background1"/>
                <w:sz w:val="16"/>
                <w:szCs w:val="16"/>
              </w:rPr>
            </w:pPr>
            <w:r w:rsidRPr="006B036E">
              <w:rPr>
                <w:rFonts w:cstheme="minorHAnsi"/>
                <w:b/>
                <w:bCs/>
                <w:color w:val="FFFFFF" w:themeColor="background1"/>
                <w:sz w:val="16"/>
                <w:szCs w:val="16"/>
              </w:rPr>
              <w:t>Δείκτες Μέτρησης Απόδοσης</w:t>
            </w:r>
            <w:r w:rsidRPr="006B036E">
              <w:rPr>
                <w:rFonts w:cstheme="minorHAnsi"/>
                <w:color w:val="FFFFFF" w:themeColor="background1"/>
                <w:sz w:val="16"/>
                <w:szCs w:val="16"/>
              </w:rPr>
              <w:t> </w:t>
            </w:r>
          </w:p>
        </w:tc>
        <w:tc>
          <w:tcPr>
            <w:tcW w:w="6300" w:type="dxa"/>
            <w:tcBorders>
              <w:top w:val="single" w:sz="6" w:space="0" w:color="3A73AE"/>
              <w:left w:val="nil"/>
              <w:bottom w:val="single" w:sz="6" w:space="0" w:color="3A73AE"/>
              <w:right w:val="single" w:sz="6" w:space="0" w:color="3A73AE"/>
            </w:tcBorders>
            <w:shd w:val="clear" w:color="auto" w:fill="3A73AE" w:themeFill="accent1"/>
            <w:vAlign w:val="bottom"/>
            <w:hideMark/>
          </w:tcPr>
          <w:p w14:paraId="32AA9167" w14:textId="77777777" w:rsidR="00787C9F" w:rsidRPr="006B036E" w:rsidRDefault="00787C9F" w:rsidP="00787C9F">
            <w:pPr>
              <w:rPr>
                <w:rFonts w:cstheme="minorHAnsi"/>
                <w:color w:val="FFFFFF" w:themeColor="background1"/>
                <w:sz w:val="16"/>
                <w:szCs w:val="16"/>
              </w:rPr>
            </w:pPr>
            <w:r w:rsidRPr="006B036E">
              <w:rPr>
                <w:rFonts w:cstheme="minorHAnsi"/>
                <w:b/>
                <w:bCs/>
                <w:color w:val="FFFFFF" w:themeColor="background1"/>
                <w:sz w:val="16"/>
                <w:szCs w:val="16"/>
              </w:rPr>
              <w:t>Επεξήγηση</w:t>
            </w:r>
            <w:r w:rsidRPr="006B036E">
              <w:rPr>
                <w:rFonts w:cstheme="minorHAnsi"/>
                <w:color w:val="FFFFFF" w:themeColor="background1"/>
                <w:sz w:val="16"/>
                <w:szCs w:val="16"/>
              </w:rPr>
              <w:t> </w:t>
            </w:r>
          </w:p>
        </w:tc>
      </w:tr>
      <w:tr w:rsidR="00787C9F" w:rsidRPr="00253EBA" w14:paraId="54D15714"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221AE22A" w14:textId="26E2B9B5" w:rsidR="00787C9F" w:rsidRPr="00253EBA" w:rsidRDefault="0054468F" w:rsidP="00787C9F">
            <w:pPr>
              <w:jc w:val="center"/>
              <w:rPr>
                <w:rFonts w:cstheme="minorHAnsi"/>
                <w:sz w:val="16"/>
                <w:szCs w:val="16"/>
              </w:rPr>
            </w:pPr>
            <w:r>
              <w:rPr>
                <w:rFonts w:cstheme="minorHAnsi"/>
                <w:sz w:val="16"/>
                <w:szCs w:val="16"/>
              </w:rPr>
              <w:t>1</w:t>
            </w:r>
          </w:p>
        </w:tc>
        <w:tc>
          <w:tcPr>
            <w:tcW w:w="2398" w:type="dxa"/>
            <w:tcBorders>
              <w:top w:val="nil"/>
              <w:left w:val="nil"/>
              <w:bottom w:val="single" w:sz="6" w:space="0" w:color="3A73AE"/>
              <w:right w:val="single" w:sz="6" w:space="0" w:color="3A73AE"/>
            </w:tcBorders>
            <w:shd w:val="clear" w:color="auto" w:fill="auto"/>
            <w:vAlign w:val="center"/>
          </w:tcPr>
          <w:p w14:paraId="7C631F2D"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Συνολικό Προσαρμοσμένο Ενεργητικό  </w:t>
            </w:r>
          </w:p>
        </w:tc>
        <w:tc>
          <w:tcPr>
            <w:tcW w:w="6300" w:type="dxa"/>
            <w:tcBorders>
              <w:top w:val="nil"/>
              <w:left w:val="nil"/>
              <w:bottom w:val="single" w:sz="6" w:space="0" w:color="3A73AE"/>
              <w:right w:val="single" w:sz="6" w:space="0" w:color="3A73AE"/>
            </w:tcBorders>
            <w:shd w:val="clear" w:color="auto" w:fill="auto"/>
          </w:tcPr>
          <w:p w14:paraId="01AFEADA" w14:textId="096E3240" w:rsidR="00787C9F" w:rsidRPr="00253EBA" w:rsidRDefault="00787C9F" w:rsidP="001949F9">
            <w:pPr>
              <w:rPr>
                <w:rFonts w:cstheme="minorHAnsi"/>
                <w:sz w:val="16"/>
                <w:szCs w:val="16"/>
              </w:rPr>
            </w:pPr>
            <w:r w:rsidRPr="00253EBA">
              <w:rPr>
                <w:rFonts w:eastAsia="Times New Roman" w:cstheme="minorHAnsi"/>
                <w:sz w:val="16"/>
                <w:szCs w:val="16"/>
                <w:lang w:eastAsia="el-GR"/>
              </w:rPr>
              <w:t>Σύνολο ενεργητικού εξαιρουμένων</w:t>
            </w:r>
            <w:r w:rsidRPr="00253EBA">
              <w:rPr>
                <w:rFonts w:eastAsia="Times New Roman" w:cstheme="minorHAnsi"/>
                <w:sz w:val="16"/>
                <w:szCs w:val="16"/>
                <w:lang w:val="en-GB" w:eastAsia="el-GR"/>
              </w:rPr>
              <w:t> </w:t>
            </w:r>
            <w:r w:rsidRPr="00253EBA">
              <w:rPr>
                <w:rFonts w:cstheme="minorHAnsi"/>
                <w:sz w:val="16"/>
                <w:szCs w:val="16"/>
              </w:rPr>
              <w:t>1) €1,7</w:t>
            </w:r>
            <w:r w:rsidR="001949F9">
              <w:rPr>
                <w:rFonts w:cstheme="minorHAnsi"/>
                <w:sz w:val="16"/>
                <w:szCs w:val="16"/>
              </w:rPr>
              <w:t xml:space="preserve"> </w:t>
            </w:r>
            <w:r w:rsidR="009979CE">
              <w:rPr>
                <w:rFonts w:cstheme="minorHAnsi"/>
                <w:sz w:val="16"/>
                <w:szCs w:val="16"/>
              </w:rPr>
              <w:t>δισ.</w:t>
            </w:r>
            <w:r w:rsidRPr="00253EBA">
              <w:rPr>
                <w:rFonts w:cstheme="minorHAnsi"/>
                <w:sz w:val="16"/>
                <w:szCs w:val="16"/>
              </w:rPr>
              <w:t xml:space="preserve"> στις  31 Δεκεμβρίου 2019 των </w:t>
            </w:r>
            <w:r w:rsidR="00AC2977" w:rsidRPr="00253EBA">
              <w:rPr>
                <w:rFonts w:cstheme="minorHAnsi"/>
                <w:sz w:val="16"/>
                <w:szCs w:val="16"/>
              </w:rPr>
              <w:t>διακοπτόμενων</w:t>
            </w:r>
            <w:r w:rsidRPr="00253EBA">
              <w:rPr>
                <w:rFonts w:cstheme="minorHAnsi"/>
                <w:sz w:val="16"/>
                <w:szCs w:val="16"/>
              </w:rPr>
              <w:t xml:space="preserve">  δραστηριοτήτων και εποχικού δανείου ΟΠΕΚΕΠΕ 2) €1,6</w:t>
            </w:r>
            <w:r w:rsidR="001949F9">
              <w:rPr>
                <w:rFonts w:cstheme="minorHAnsi"/>
                <w:sz w:val="16"/>
                <w:szCs w:val="16"/>
              </w:rPr>
              <w:t xml:space="preserve"> δισ.</w:t>
            </w:r>
            <w:r w:rsidRPr="00253EBA">
              <w:rPr>
                <w:rFonts w:cstheme="minorHAnsi"/>
                <w:sz w:val="16"/>
                <w:szCs w:val="16"/>
              </w:rPr>
              <w:t xml:space="preserve"> των </w:t>
            </w:r>
            <w:r w:rsidR="00AC2977" w:rsidRPr="00253EBA">
              <w:rPr>
                <w:rFonts w:cstheme="minorHAnsi"/>
                <w:sz w:val="16"/>
                <w:szCs w:val="16"/>
              </w:rPr>
              <w:t>διακοπτόμενων</w:t>
            </w:r>
            <w:r w:rsidRPr="00253EBA">
              <w:rPr>
                <w:rFonts w:cstheme="minorHAnsi"/>
                <w:sz w:val="16"/>
                <w:szCs w:val="16"/>
              </w:rPr>
              <w:t xml:space="preserve">  δραστηριοτήτων και εποχικού δανείου ΟΠΕΚΕΠΕ 31 Δεκεμβρίου 2020</w:t>
            </w:r>
          </w:p>
        </w:tc>
      </w:tr>
      <w:tr w:rsidR="00787C9F" w:rsidRPr="00253EBA" w14:paraId="16AEBC53" w14:textId="77777777" w:rsidTr="0092615F">
        <w:trPr>
          <w:trHeight w:val="660"/>
        </w:trPr>
        <w:tc>
          <w:tcPr>
            <w:tcW w:w="399" w:type="dxa"/>
            <w:tcBorders>
              <w:top w:val="nil"/>
              <w:left w:val="single" w:sz="6" w:space="0" w:color="3A73AE"/>
              <w:bottom w:val="single" w:sz="6" w:space="0" w:color="3A73AE"/>
              <w:right w:val="single" w:sz="6" w:space="0" w:color="3A73AE"/>
            </w:tcBorders>
            <w:shd w:val="clear" w:color="auto" w:fill="auto"/>
            <w:vAlign w:val="center"/>
          </w:tcPr>
          <w:p w14:paraId="7E0688B5" w14:textId="36F824E5" w:rsidR="00787C9F" w:rsidRPr="00253EBA" w:rsidRDefault="0054468F" w:rsidP="00787C9F">
            <w:pPr>
              <w:jc w:val="center"/>
              <w:rPr>
                <w:rFonts w:cstheme="minorHAnsi"/>
                <w:sz w:val="16"/>
                <w:szCs w:val="16"/>
              </w:rPr>
            </w:pPr>
            <w:r>
              <w:rPr>
                <w:rFonts w:cstheme="minorHAnsi"/>
                <w:sz w:val="16"/>
                <w:szCs w:val="16"/>
              </w:rPr>
              <w:t>2</w:t>
            </w:r>
          </w:p>
        </w:tc>
        <w:tc>
          <w:tcPr>
            <w:tcW w:w="2398" w:type="dxa"/>
            <w:tcBorders>
              <w:top w:val="nil"/>
              <w:left w:val="nil"/>
              <w:bottom w:val="single" w:sz="6" w:space="0" w:color="3A73AE"/>
              <w:right w:val="single" w:sz="6" w:space="0" w:color="3A73AE"/>
            </w:tcBorders>
            <w:shd w:val="clear" w:color="auto" w:fill="auto"/>
            <w:vAlign w:val="center"/>
          </w:tcPr>
          <w:p w14:paraId="5BB794EB" w14:textId="34749531" w:rsidR="00787C9F" w:rsidRPr="00253EBA" w:rsidRDefault="00787C9F" w:rsidP="00787C9F">
            <w:pPr>
              <w:rPr>
                <w:rFonts w:eastAsia="Times New Roman" w:cstheme="minorHAnsi"/>
                <w:sz w:val="16"/>
                <w:szCs w:val="16"/>
                <w:lang w:eastAsia="el-GR"/>
              </w:rPr>
            </w:pPr>
            <w:r w:rsidRPr="00253EBA">
              <w:rPr>
                <w:rFonts w:cstheme="minorHAnsi"/>
                <w:bCs/>
                <w:sz w:val="16"/>
                <w:szCs w:val="16"/>
              </w:rPr>
              <w:t>Έσοδα από Βασικές Τραπεζικές Δραστηριότητες (</w:t>
            </w:r>
            <w:r w:rsidR="00AC2977" w:rsidRPr="00253EBA">
              <w:rPr>
                <w:rFonts w:cstheme="minorHAnsi"/>
                <w:sz w:val="16"/>
                <w:szCs w:val="16"/>
              </w:rPr>
              <w:t>Έσοδα</w:t>
            </w:r>
            <w:r w:rsidRPr="00253EBA">
              <w:rPr>
                <w:rFonts w:cstheme="minorHAnsi"/>
                <w:sz w:val="16"/>
                <w:szCs w:val="16"/>
              </w:rPr>
              <w:t xml:space="preserve"> από τόκους και προμήθειες)</w:t>
            </w:r>
          </w:p>
        </w:tc>
        <w:tc>
          <w:tcPr>
            <w:tcW w:w="6300" w:type="dxa"/>
            <w:tcBorders>
              <w:top w:val="nil"/>
              <w:left w:val="nil"/>
              <w:bottom w:val="single" w:sz="6" w:space="0" w:color="3A73AE"/>
              <w:right w:val="single" w:sz="6" w:space="0" w:color="3A73AE"/>
            </w:tcBorders>
            <w:shd w:val="clear" w:color="auto" w:fill="auto"/>
            <w:vAlign w:val="center"/>
          </w:tcPr>
          <w:p w14:paraId="2CD8DD4E" w14:textId="50429894" w:rsidR="00787C9F" w:rsidRPr="00253EBA" w:rsidRDefault="00AC2977" w:rsidP="00D009E1">
            <w:pPr>
              <w:rPr>
                <w:rFonts w:eastAsia="Times New Roman" w:cstheme="minorHAnsi"/>
                <w:sz w:val="16"/>
                <w:szCs w:val="16"/>
                <w:lang w:eastAsia="el-GR"/>
              </w:rPr>
            </w:pPr>
            <w:r w:rsidRPr="00253EBA">
              <w:rPr>
                <w:rFonts w:cstheme="minorHAnsi"/>
                <w:sz w:val="16"/>
                <w:szCs w:val="16"/>
              </w:rPr>
              <w:t>Έντοκα</w:t>
            </w:r>
            <w:r w:rsidR="00787C9F" w:rsidRPr="00253EBA">
              <w:rPr>
                <w:rFonts w:cstheme="minorHAnsi"/>
                <w:sz w:val="16"/>
                <w:szCs w:val="16"/>
              </w:rPr>
              <w:t xml:space="preserve"> </w:t>
            </w:r>
            <w:r w:rsidR="00D009E1">
              <w:rPr>
                <w:rFonts w:cstheme="minorHAnsi"/>
                <w:sz w:val="16"/>
                <w:szCs w:val="16"/>
              </w:rPr>
              <w:t>έ</w:t>
            </w:r>
            <w:r w:rsidRPr="00253EBA">
              <w:rPr>
                <w:rFonts w:cstheme="minorHAnsi"/>
                <w:sz w:val="16"/>
                <w:szCs w:val="16"/>
              </w:rPr>
              <w:t>σοδα</w:t>
            </w:r>
            <w:r w:rsidR="00787C9F" w:rsidRPr="00253EBA">
              <w:rPr>
                <w:rFonts w:cstheme="minorHAnsi"/>
                <w:sz w:val="16"/>
                <w:szCs w:val="16"/>
              </w:rPr>
              <w:t xml:space="preserve"> συν (+) έσοδα από προμήθειες</w:t>
            </w:r>
          </w:p>
        </w:tc>
      </w:tr>
      <w:tr w:rsidR="00787C9F" w:rsidRPr="00253EBA" w14:paraId="4A8539E4" w14:textId="77777777" w:rsidTr="0092615F">
        <w:trPr>
          <w:trHeight w:val="660"/>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487B7E77" w14:textId="54CD73FD" w:rsidR="00787C9F" w:rsidRPr="001949F9" w:rsidRDefault="00D60852" w:rsidP="00787C9F">
            <w:pPr>
              <w:jc w:val="center"/>
              <w:rPr>
                <w:rFonts w:cstheme="minorHAnsi"/>
                <w:sz w:val="16"/>
                <w:szCs w:val="16"/>
              </w:rPr>
            </w:pPr>
            <w:r w:rsidRPr="001949F9">
              <w:rPr>
                <w:rFonts w:cstheme="minorHAnsi"/>
                <w:sz w:val="16"/>
                <w:szCs w:val="16"/>
              </w:rPr>
              <w:t>3</w:t>
            </w:r>
          </w:p>
        </w:tc>
        <w:tc>
          <w:tcPr>
            <w:tcW w:w="2398" w:type="dxa"/>
            <w:tcBorders>
              <w:top w:val="nil"/>
              <w:left w:val="nil"/>
              <w:bottom w:val="single" w:sz="6" w:space="0" w:color="3A73AE"/>
              <w:right w:val="single" w:sz="6" w:space="0" w:color="3A73AE"/>
            </w:tcBorders>
            <w:shd w:val="clear" w:color="auto" w:fill="auto"/>
            <w:vAlign w:val="center"/>
          </w:tcPr>
          <w:p w14:paraId="44AF6B8E"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Επίπτωση του COVID-19 </w:t>
            </w:r>
          </w:p>
        </w:tc>
        <w:tc>
          <w:tcPr>
            <w:tcW w:w="6300" w:type="dxa"/>
            <w:tcBorders>
              <w:top w:val="nil"/>
              <w:left w:val="nil"/>
              <w:bottom w:val="single" w:sz="6" w:space="0" w:color="3A73AE"/>
              <w:right w:val="single" w:sz="6" w:space="0" w:color="3A73AE"/>
            </w:tcBorders>
            <w:shd w:val="clear" w:color="auto" w:fill="auto"/>
          </w:tcPr>
          <w:p w14:paraId="18BDF5A3" w14:textId="1C9F81CA" w:rsidR="00787C9F" w:rsidRPr="00253EBA" w:rsidRDefault="00787C9F" w:rsidP="00D009E1">
            <w:pPr>
              <w:rPr>
                <w:rFonts w:cstheme="minorHAnsi"/>
                <w:sz w:val="16"/>
                <w:szCs w:val="16"/>
              </w:rPr>
            </w:pPr>
            <w:r w:rsidRPr="00253EBA">
              <w:rPr>
                <w:rFonts w:eastAsia="Times New Roman" w:cstheme="minorHAnsi"/>
                <w:sz w:val="16"/>
                <w:szCs w:val="16"/>
                <w:lang w:eastAsia="el-GR"/>
              </w:rPr>
              <w:t>Η επίπτωση του COVID-19 περιλαμβάνει €0</w:t>
            </w:r>
            <w:r w:rsidR="00D009E1">
              <w:rPr>
                <w:rFonts w:eastAsia="Times New Roman" w:cstheme="minorHAnsi"/>
                <w:sz w:val="16"/>
                <w:szCs w:val="16"/>
                <w:lang w:eastAsia="el-GR"/>
              </w:rPr>
              <w:t>,</w:t>
            </w:r>
            <w:r w:rsidRPr="00253EBA">
              <w:rPr>
                <w:rFonts w:eastAsia="Times New Roman" w:cstheme="minorHAnsi"/>
                <w:sz w:val="16"/>
                <w:szCs w:val="16"/>
                <w:lang w:eastAsia="el-GR"/>
              </w:rPr>
              <w:t xml:space="preserve">3 </w:t>
            </w:r>
            <w:r w:rsidR="009979CE">
              <w:rPr>
                <w:rFonts w:eastAsia="Times New Roman" w:cstheme="minorHAnsi"/>
                <w:sz w:val="16"/>
                <w:szCs w:val="16"/>
                <w:lang w:eastAsia="el-GR"/>
              </w:rPr>
              <w:t>δισ.</w:t>
            </w:r>
            <w:r w:rsidRPr="00253EBA">
              <w:rPr>
                <w:rFonts w:eastAsia="Times New Roman" w:cstheme="minorHAnsi"/>
                <w:sz w:val="16"/>
                <w:szCs w:val="16"/>
                <w:lang w:eastAsia="el-GR"/>
              </w:rPr>
              <w:t xml:space="preserve"> </w:t>
            </w:r>
            <w:r w:rsidR="00D009E1">
              <w:rPr>
                <w:rFonts w:eastAsia="Times New Roman" w:cstheme="minorHAnsi"/>
                <w:sz w:val="16"/>
                <w:szCs w:val="16"/>
                <w:lang w:eastAsia="el-GR"/>
              </w:rPr>
              <w:t xml:space="preserve">το </w:t>
            </w:r>
            <w:r w:rsidR="006B036E">
              <w:rPr>
                <w:rFonts w:eastAsia="Times New Roman" w:cstheme="minorHAnsi"/>
                <w:sz w:val="16"/>
                <w:szCs w:val="16"/>
                <w:lang w:eastAsia="el-GR"/>
              </w:rPr>
              <w:t>2020</w:t>
            </w:r>
            <w:r w:rsidRPr="00253EBA">
              <w:rPr>
                <w:rFonts w:eastAsia="Times New Roman" w:cstheme="minorHAnsi"/>
                <w:sz w:val="16"/>
                <w:szCs w:val="16"/>
                <w:lang w:eastAsia="el-GR"/>
              </w:rPr>
              <w:t xml:space="preserve"> από επιπλέον αναμενόμενες ζημίες </w:t>
            </w:r>
            <w:proofErr w:type="spellStart"/>
            <w:r w:rsidRPr="00253EBA">
              <w:rPr>
                <w:rFonts w:eastAsia="Times New Roman" w:cstheme="minorHAnsi"/>
                <w:sz w:val="16"/>
                <w:szCs w:val="16"/>
                <w:lang w:eastAsia="el-GR"/>
              </w:rPr>
              <w:t>απομείωσης</w:t>
            </w:r>
            <w:proofErr w:type="spellEnd"/>
            <w:r w:rsidRPr="00253EBA">
              <w:rPr>
                <w:rFonts w:eastAsia="Times New Roman" w:cstheme="minorHAnsi"/>
                <w:sz w:val="16"/>
                <w:szCs w:val="16"/>
                <w:lang w:eastAsia="el-GR"/>
              </w:rPr>
              <w:t> δανείων και άλλων στοιχείων ενεργητικού ώστε να αντικατοπτρίζουν τις επιδεινούμενες οικονομικές προοπτικές ως αποτέλεσμα του COVID-19</w:t>
            </w:r>
          </w:p>
        </w:tc>
      </w:tr>
      <w:tr w:rsidR="00787C9F" w:rsidRPr="00253EBA" w14:paraId="0B22C364" w14:textId="77777777" w:rsidTr="0092615F">
        <w:trPr>
          <w:trHeight w:val="705"/>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740ACB33" w14:textId="038D0CAA" w:rsidR="00787C9F" w:rsidRPr="00D009E1" w:rsidRDefault="00D60852" w:rsidP="00787C9F">
            <w:pPr>
              <w:jc w:val="center"/>
              <w:rPr>
                <w:rFonts w:cstheme="minorHAnsi"/>
                <w:sz w:val="16"/>
                <w:szCs w:val="16"/>
                <w:lang w:val="en-US"/>
              </w:rPr>
            </w:pPr>
            <w:r>
              <w:rPr>
                <w:rFonts w:cstheme="minorHAnsi"/>
                <w:sz w:val="16"/>
                <w:szCs w:val="16"/>
                <w:lang w:val="en-US"/>
              </w:rPr>
              <w:t>4</w:t>
            </w:r>
          </w:p>
        </w:tc>
        <w:tc>
          <w:tcPr>
            <w:tcW w:w="2398" w:type="dxa"/>
            <w:tcBorders>
              <w:top w:val="nil"/>
              <w:left w:val="nil"/>
              <w:bottom w:val="single" w:sz="6" w:space="0" w:color="3A73AE"/>
              <w:right w:val="single" w:sz="6" w:space="0" w:color="3A73AE"/>
            </w:tcBorders>
            <w:shd w:val="clear" w:color="auto" w:fill="auto"/>
            <w:vAlign w:val="center"/>
          </w:tcPr>
          <w:p w14:paraId="5D224887" w14:textId="77777777" w:rsidR="00787C9F" w:rsidRPr="00253EBA" w:rsidRDefault="00787C9F" w:rsidP="00787C9F">
            <w:pPr>
              <w:rPr>
                <w:rFonts w:cstheme="minorHAnsi"/>
                <w:sz w:val="16"/>
                <w:szCs w:val="16"/>
                <w:lang w:val="en-US"/>
              </w:rPr>
            </w:pPr>
            <w:proofErr w:type="spellStart"/>
            <w:r w:rsidRPr="00253EBA">
              <w:rPr>
                <w:rFonts w:eastAsia="Times New Roman" w:cstheme="minorHAnsi"/>
                <w:sz w:val="16"/>
                <w:szCs w:val="16"/>
                <w:lang w:eastAsia="el-GR"/>
              </w:rPr>
              <w:t>Απομειώσεις</w:t>
            </w:r>
            <w:proofErr w:type="spellEnd"/>
            <w:r w:rsidRPr="00253EBA">
              <w:rPr>
                <w:rFonts w:eastAsia="Times New Roman" w:cstheme="minorHAnsi"/>
                <w:sz w:val="16"/>
                <w:szCs w:val="16"/>
                <w:lang w:eastAsia="el-GR"/>
              </w:rPr>
              <w:t> ή Προβλέψεις </w:t>
            </w:r>
          </w:p>
        </w:tc>
        <w:tc>
          <w:tcPr>
            <w:tcW w:w="6300" w:type="dxa"/>
            <w:tcBorders>
              <w:top w:val="nil"/>
              <w:left w:val="nil"/>
              <w:bottom w:val="single" w:sz="6" w:space="0" w:color="3A73AE"/>
              <w:right w:val="single" w:sz="6" w:space="0" w:color="3A73AE"/>
            </w:tcBorders>
            <w:shd w:val="clear" w:color="auto" w:fill="auto"/>
            <w:vAlign w:val="center"/>
          </w:tcPr>
          <w:p w14:paraId="07455D8E"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Αναμενόμενες ζημίες απομείωσης δανείων και απαιτήσεων κατά πελατών στο αποσβέσιμο κόστος συν (+) Ζημίες </w:t>
            </w:r>
            <w:proofErr w:type="spellStart"/>
            <w:r w:rsidRPr="00253EBA">
              <w:rPr>
                <w:rFonts w:eastAsia="Times New Roman" w:cstheme="minorHAnsi"/>
                <w:sz w:val="16"/>
                <w:szCs w:val="16"/>
                <w:lang w:eastAsia="el-GR"/>
              </w:rPr>
              <w:t>απομείωσης</w:t>
            </w:r>
            <w:proofErr w:type="spellEnd"/>
            <w:r w:rsidRPr="00253EBA">
              <w:rPr>
                <w:rFonts w:eastAsia="Times New Roman" w:cstheme="minorHAnsi"/>
                <w:sz w:val="16"/>
                <w:szCs w:val="16"/>
                <w:lang w:eastAsia="el-GR"/>
              </w:rPr>
              <w:t> λοιπών στοιχείων ενεργητικού συν (+) Ζημίες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χρηματοοικονομικών μέσων στην εύλογη αξία μέσω λοιπών συνολικών εσόδων συν (+) </w:t>
            </w:r>
            <w:proofErr w:type="spellStart"/>
            <w:r w:rsidRPr="00253EBA">
              <w:rPr>
                <w:rFonts w:eastAsia="Times New Roman" w:cstheme="minorHAnsi"/>
                <w:sz w:val="16"/>
                <w:szCs w:val="16"/>
                <w:lang w:eastAsia="el-GR"/>
              </w:rPr>
              <w:t>Απομείωση</w:t>
            </w:r>
            <w:proofErr w:type="spellEnd"/>
            <w:r w:rsidRPr="00253EBA">
              <w:rPr>
                <w:rFonts w:eastAsia="Times New Roman" w:cstheme="minorHAnsi"/>
                <w:sz w:val="16"/>
                <w:szCs w:val="16"/>
                <w:lang w:eastAsia="el-GR"/>
              </w:rPr>
              <w:t> αξίας θυγατρικών και συγγενών εταιρειών συν (+) </w:t>
            </w:r>
            <w:proofErr w:type="spellStart"/>
            <w:r w:rsidRPr="00253EBA">
              <w:rPr>
                <w:rFonts w:eastAsia="Times New Roman" w:cstheme="minorHAnsi"/>
                <w:sz w:val="16"/>
                <w:szCs w:val="16"/>
                <w:lang w:eastAsia="el-GR"/>
              </w:rPr>
              <w:t>Απομείωση</w:t>
            </w:r>
            <w:proofErr w:type="spellEnd"/>
            <w:r w:rsidRPr="00253EBA">
              <w:rPr>
                <w:rFonts w:eastAsia="Times New Roman" w:cstheme="minorHAnsi"/>
                <w:sz w:val="16"/>
                <w:szCs w:val="16"/>
                <w:lang w:eastAsia="el-GR"/>
              </w:rPr>
              <w:t> αξίας ενσώματων παγίων και άυλων στοιχείων ενεργητικού συν (+) Λοιπές ζημίες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w:t>
            </w:r>
          </w:p>
        </w:tc>
      </w:tr>
      <w:tr w:rsidR="00787C9F" w:rsidRPr="00253EBA" w14:paraId="02F13D85" w14:textId="77777777" w:rsidTr="0092615F">
        <w:trPr>
          <w:trHeight w:val="643"/>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4FAE8CA6" w14:textId="6DD35040" w:rsidR="00787C9F" w:rsidRPr="00D009E1" w:rsidRDefault="00D60852" w:rsidP="00787C9F">
            <w:pPr>
              <w:jc w:val="center"/>
              <w:rPr>
                <w:rFonts w:cstheme="minorHAnsi"/>
                <w:sz w:val="16"/>
                <w:szCs w:val="16"/>
                <w:lang w:val="en-US"/>
              </w:rPr>
            </w:pPr>
            <w:r>
              <w:rPr>
                <w:rFonts w:cstheme="minorHAnsi"/>
                <w:sz w:val="16"/>
                <w:szCs w:val="16"/>
                <w:lang w:val="en-US"/>
              </w:rPr>
              <w:t>5</w:t>
            </w:r>
          </w:p>
        </w:tc>
        <w:tc>
          <w:tcPr>
            <w:tcW w:w="2398" w:type="dxa"/>
            <w:tcBorders>
              <w:top w:val="nil"/>
              <w:left w:val="nil"/>
              <w:bottom w:val="single" w:sz="6" w:space="0" w:color="3A73AE"/>
              <w:right w:val="single" w:sz="6" w:space="0" w:color="3A73AE"/>
            </w:tcBorders>
            <w:shd w:val="clear" w:color="auto" w:fill="auto"/>
            <w:vAlign w:val="center"/>
          </w:tcPr>
          <w:p w14:paraId="7656946B" w14:textId="77777777" w:rsidR="00787C9F" w:rsidRPr="00253EBA" w:rsidRDefault="00787C9F" w:rsidP="00787C9F">
            <w:pPr>
              <w:rPr>
                <w:rFonts w:cstheme="minorHAnsi"/>
                <w:sz w:val="16"/>
                <w:szCs w:val="16"/>
              </w:rPr>
            </w:pPr>
            <w:proofErr w:type="spellStart"/>
            <w:r w:rsidRPr="00253EBA">
              <w:rPr>
                <w:rFonts w:eastAsia="Times New Roman" w:cstheme="minorHAnsi"/>
                <w:sz w:val="16"/>
                <w:szCs w:val="16"/>
                <w:lang w:eastAsia="el-GR"/>
              </w:rPr>
              <w:t>Απομειώσεις</w:t>
            </w:r>
            <w:proofErr w:type="spellEnd"/>
            <w:r w:rsidRPr="00253EBA">
              <w:rPr>
                <w:rFonts w:eastAsia="Times New Roman" w:cstheme="minorHAnsi"/>
                <w:sz w:val="16"/>
                <w:szCs w:val="16"/>
                <w:lang w:eastAsia="el-GR"/>
              </w:rPr>
              <w:t> (Έξοδο προβλέψεων) Δανείων  </w:t>
            </w:r>
          </w:p>
        </w:tc>
        <w:tc>
          <w:tcPr>
            <w:tcW w:w="6300" w:type="dxa"/>
            <w:tcBorders>
              <w:top w:val="nil"/>
              <w:left w:val="nil"/>
              <w:bottom w:val="single" w:sz="6" w:space="0" w:color="3A73AE"/>
              <w:right w:val="single" w:sz="6" w:space="0" w:color="3A73AE"/>
            </w:tcBorders>
            <w:shd w:val="clear" w:color="auto" w:fill="FFFFFF"/>
            <w:vAlign w:val="center"/>
          </w:tcPr>
          <w:p w14:paraId="7288BE16" w14:textId="5E30A889" w:rsidR="00787C9F" w:rsidRPr="00253EBA" w:rsidRDefault="00787C9F" w:rsidP="00787C9F">
            <w:pPr>
              <w:rPr>
                <w:rFonts w:cstheme="minorHAnsi"/>
                <w:sz w:val="16"/>
                <w:szCs w:val="16"/>
              </w:rPr>
            </w:pPr>
            <w:r w:rsidRPr="00253EBA">
              <w:rPr>
                <w:rFonts w:eastAsia="Times New Roman" w:cstheme="minorHAnsi"/>
                <w:sz w:val="16"/>
                <w:szCs w:val="16"/>
                <w:lang w:eastAsia="el-GR"/>
              </w:rPr>
              <w:t>Αναμενόμενες ζημίες απομείωσης δανείων και απαιτήσεων κατά πε</w:t>
            </w:r>
            <w:r w:rsidR="00D009E1">
              <w:rPr>
                <w:rFonts w:eastAsia="Times New Roman" w:cstheme="minorHAnsi"/>
                <w:sz w:val="16"/>
                <w:szCs w:val="16"/>
                <w:lang w:eastAsia="el-GR"/>
              </w:rPr>
              <w:t>λατών στο αποσβέσιμο κόστος</w:t>
            </w:r>
          </w:p>
        </w:tc>
      </w:tr>
      <w:tr w:rsidR="00787C9F" w:rsidRPr="00253EBA" w14:paraId="1003FE0D" w14:textId="77777777" w:rsidTr="0092615F">
        <w:trPr>
          <w:trHeight w:val="540"/>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7BD1BD9A" w14:textId="16C2BA8A" w:rsidR="00787C9F" w:rsidRPr="005F3460" w:rsidRDefault="00D60852" w:rsidP="00787C9F">
            <w:pPr>
              <w:jc w:val="center"/>
              <w:rPr>
                <w:rFonts w:cstheme="minorHAnsi"/>
                <w:sz w:val="16"/>
                <w:szCs w:val="16"/>
                <w:lang w:val="en-US"/>
              </w:rPr>
            </w:pPr>
            <w:r>
              <w:rPr>
                <w:rFonts w:cstheme="minorHAnsi"/>
                <w:sz w:val="16"/>
                <w:szCs w:val="16"/>
                <w:lang w:val="en-US"/>
              </w:rPr>
              <w:t>6</w:t>
            </w:r>
          </w:p>
        </w:tc>
        <w:tc>
          <w:tcPr>
            <w:tcW w:w="2398" w:type="dxa"/>
            <w:tcBorders>
              <w:top w:val="nil"/>
              <w:left w:val="nil"/>
              <w:bottom w:val="single" w:sz="6" w:space="0" w:color="3A73AE"/>
              <w:right w:val="single" w:sz="6" w:space="0" w:color="3A73AE"/>
            </w:tcBorders>
            <w:shd w:val="clear" w:color="auto" w:fill="auto"/>
            <w:vAlign w:val="center"/>
          </w:tcPr>
          <w:p w14:paraId="3863B62F" w14:textId="77777777" w:rsidR="00787C9F" w:rsidRPr="00253EBA" w:rsidRDefault="00787C9F" w:rsidP="00787C9F">
            <w:pPr>
              <w:rPr>
                <w:rFonts w:cstheme="minorHAnsi"/>
                <w:sz w:val="16"/>
                <w:szCs w:val="16"/>
              </w:rPr>
            </w:pPr>
            <w:proofErr w:type="spellStart"/>
            <w:r w:rsidRPr="00253EBA">
              <w:rPr>
                <w:rFonts w:eastAsia="Times New Roman" w:cstheme="minorHAnsi"/>
                <w:sz w:val="16"/>
                <w:szCs w:val="16"/>
                <w:lang w:eastAsia="el-GR"/>
              </w:rPr>
              <w:t>Απομειώσεις</w:t>
            </w:r>
            <w:proofErr w:type="spellEnd"/>
            <w:r w:rsidRPr="00253EBA">
              <w:rPr>
                <w:rFonts w:eastAsia="Times New Roman" w:cstheme="minorHAnsi"/>
                <w:sz w:val="16"/>
                <w:szCs w:val="16"/>
                <w:lang w:eastAsia="el-GR"/>
              </w:rPr>
              <w:t> (Έξοδο προβλέψεων) Δανείων προς Δάνεια μετά από Προβλέψεις  </w:t>
            </w:r>
          </w:p>
        </w:tc>
        <w:tc>
          <w:tcPr>
            <w:tcW w:w="6300" w:type="dxa"/>
            <w:tcBorders>
              <w:top w:val="nil"/>
              <w:left w:val="nil"/>
              <w:bottom w:val="single" w:sz="6" w:space="0" w:color="3A73AE"/>
              <w:right w:val="single" w:sz="6" w:space="0" w:color="3A73AE"/>
            </w:tcBorders>
            <w:shd w:val="clear" w:color="auto" w:fill="auto"/>
            <w:vAlign w:val="center"/>
          </w:tcPr>
          <w:p w14:paraId="6450EF94" w14:textId="19F7080D" w:rsidR="00787C9F" w:rsidRPr="00253EBA" w:rsidRDefault="00787C9F" w:rsidP="005F3460">
            <w:pPr>
              <w:rPr>
                <w:rFonts w:cstheme="minorHAnsi"/>
                <w:sz w:val="16"/>
                <w:szCs w:val="16"/>
              </w:rPr>
            </w:pPr>
            <w:r w:rsidRPr="00253EBA">
              <w:rPr>
                <w:rFonts w:eastAsia="Times New Roman" w:cstheme="minorHAnsi"/>
                <w:sz w:val="16"/>
                <w:szCs w:val="16"/>
                <w:lang w:eastAsia="el-GR"/>
              </w:rPr>
              <w:t>Αναμενόμενες ζημίες απομείωσης δανείων και απαιτήσεων κατά πελατών στο αποσβέσιμο κόστοςπου σχετίζονται με την αντίστοιχη περίοδο σε </w:t>
            </w:r>
            <w:proofErr w:type="spellStart"/>
            <w:r w:rsidRPr="00253EBA">
              <w:rPr>
                <w:rFonts w:eastAsia="Times New Roman" w:cstheme="minorHAnsi"/>
                <w:sz w:val="16"/>
                <w:szCs w:val="16"/>
                <w:lang w:eastAsia="el-GR"/>
              </w:rPr>
              <w:t>ετησιοποιημένη</w:t>
            </w:r>
            <w:proofErr w:type="spellEnd"/>
            <w:r w:rsidRPr="00253EBA">
              <w:rPr>
                <w:rFonts w:eastAsia="Times New Roman" w:cstheme="minorHAnsi"/>
                <w:sz w:val="16"/>
                <w:szCs w:val="16"/>
                <w:lang w:eastAsia="el-GR"/>
              </w:rPr>
              <w:t> βάση - εξαιρουμένης της επίπτωσης του Covid-19 </w:t>
            </w:r>
            <w:r w:rsidR="005F3460">
              <w:rPr>
                <w:rFonts w:eastAsia="Times New Roman" w:cstheme="minorHAnsi"/>
                <w:sz w:val="16"/>
                <w:szCs w:val="16"/>
                <w:lang w:eastAsia="el-GR"/>
              </w:rPr>
              <w:t xml:space="preserve">και άλλων </w:t>
            </w:r>
            <w:proofErr w:type="spellStart"/>
            <w:r w:rsidR="005F3460">
              <w:rPr>
                <w:rFonts w:eastAsia="Times New Roman" w:cstheme="minorHAnsi"/>
                <w:sz w:val="16"/>
                <w:szCs w:val="16"/>
                <w:lang w:eastAsia="el-GR"/>
              </w:rPr>
              <w:t>απομειώσεων</w:t>
            </w:r>
            <w:proofErr w:type="spellEnd"/>
            <w:r w:rsidR="005F3460">
              <w:rPr>
                <w:rFonts w:eastAsia="Times New Roman" w:cstheme="minorHAnsi"/>
                <w:sz w:val="16"/>
                <w:szCs w:val="16"/>
                <w:lang w:eastAsia="el-GR"/>
              </w:rPr>
              <w:t xml:space="preserve"> σχετιζόμενων με το νέο σχέδιο μείωσης αποθέματος </w:t>
            </w:r>
            <w:r w:rsidR="005F3460">
              <w:rPr>
                <w:rFonts w:eastAsia="Times New Roman" w:cstheme="minorHAnsi"/>
                <w:sz w:val="16"/>
                <w:szCs w:val="16"/>
                <w:lang w:val="en-US" w:eastAsia="el-GR"/>
              </w:rPr>
              <w:t>NPEs</w:t>
            </w:r>
            <w:r w:rsidR="005F3460">
              <w:rPr>
                <w:rFonts w:eastAsia="Times New Roman" w:cstheme="minorHAnsi"/>
                <w:sz w:val="16"/>
                <w:szCs w:val="16"/>
                <w:lang w:eastAsia="el-GR"/>
              </w:rPr>
              <w:t xml:space="preserve"> </w:t>
            </w:r>
            <w:r w:rsidRPr="00253EBA">
              <w:rPr>
                <w:rFonts w:eastAsia="Times New Roman" w:cstheme="minorHAnsi"/>
                <w:sz w:val="16"/>
                <w:szCs w:val="16"/>
                <w:lang w:eastAsia="el-GR"/>
              </w:rPr>
              <w:t>- προς (/) Δάνεια μετά από προβλέψεις  </w:t>
            </w:r>
          </w:p>
        </w:tc>
      </w:tr>
      <w:tr w:rsidR="00787C9F" w:rsidRPr="00253EBA" w14:paraId="287C11C7" w14:textId="77777777" w:rsidTr="0092615F">
        <w:trPr>
          <w:trHeight w:val="442"/>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0435E0D0" w14:textId="11D70395" w:rsidR="00787C9F" w:rsidRPr="00D60852" w:rsidRDefault="00D60852" w:rsidP="00787C9F">
            <w:pPr>
              <w:jc w:val="center"/>
              <w:rPr>
                <w:rFonts w:cstheme="minorHAnsi"/>
                <w:sz w:val="16"/>
                <w:szCs w:val="16"/>
                <w:lang w:val="en-US"/>
              </w:rPr>
            </w:pPr>
            <w:r>
              <w:rPr>
                <w:rFonts w:cstheme="minorHAnsi"/>
                <w:sz w:val="16"/>
                <w:szCs w:val="16"/>
                <w:lang w:val="en-US"/>
              </w:rPr>
              <w:t>7</w:t>
            </w:r>
          </w:p>
        </w:tc>
        <w:tc>
          <w:tcPr>
            <w:tcW w:w="2398" w:type="dxa"/>
            <w:tcBorders>
              <w:top w:val="nil"/>
              <w:left w:val="nil"/>
              <w:bottom w:val="single" w:sz="6" w:space="0" w:color="3A73AE"/>
              <w:right w:val="single" w:sz="6" w:space="0" w:color="3A73AE"/>
            </w:tcBorders>
            <w:shd w:val="clear" w:color="auto" w:fill="auto"/>
            <w:vAlign w:val="center"/>
          </w:tcPr>
          <w:p w14:paraId="21FE45DC" w14:textId="03266217" w:rsidR="00787C9F" w:rsidRPr="00253EBA" w:rsidRDefault="00787C9F" w:rsidP="0077163D">
            <w:pPr>
              <w:rPr>
                <w:rFonts w:cstheme="minorHAnsi"/>
                <w:sz w:val="16"/>
                <w:szCs w:val="16"/>
              </w:rPr>
            </w:pPr>
            <w:r w:rsidRPr="00253EBA">
              <w:rPr>
                <w:rFonts w:eastAsia="Times New Roman" w:cstheme="minorHAnsi"/>
                <w:sz w:val="16"/>
                <w:szCs w:val="16"/>
                <w:lang w:eastAsia="el-GR"/>
              </w:rPr>
              <w:t xml:space="preserve">Αποτέλεσμα προ </w:t>
            </w:r>
            <w:r w:rsidR="0077163D">
              <w:rPr>
                <w:rFonts w:eastAsia="Times New Roman" w:cstheme="minorHAnsi"/>
                <w:sz w:val="16"/>
                <w:szCs w:val="16"/>
                <w:lang w:eastAsia="el-GR"/>
              </w:rPr>
              <w:t>φόρων και</w:t>
            </w:r>
            <w:r w:rsidRPr="00253EBA">
              <w:rPr>
                <w:rFonts w:eastAsia="Times New Roman" w:cstheme="minorHAnsi"/>
                <w:sz w:val="16"/>
                <w:szCs w:val="16"/>
                <w:lang w:eastAsia="el-GR"/>
              </w:rPr>
              <w:t xml:space="preserve"> προβλέψεων </w:t>
            </w:r>
          </w:p>
        </w:tc>
        <w:tc>
          <w:tcPr>
            <w:tcW w:w="6300" w:type="dxa"/>
            <w:tcBorders>
              <w:top w:val="nil"/>
              <w:left w:val="nil"/>
              <w:bottom w:val="single" w:sz="6" w:space="0" w:color="3A73AE"/>
              <w:right w:val="single" w:sz="6" w:space="0" w:color="3A73AE"/>
            </w:tcBorders>
            <w:shd w:val="clear" w:color="auto" w:fill="auto"/>
            <w:vAlign w:val="center"/>
          </w:tcPr>
          <w:p w14:paraId="32CAC88A"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Κέρδη προ προβλέψεων,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και φόρου εισοδήματος </w:t>
            </w:r>
          </w:p>
        </w:tc>
      </w:tr>
      <w:tr w:rsidR="0077163D" w:rsidRPr="00253EBA" w14:paraId="63E8D523" w14:textId="77777777" w:rsidTr="0092615F">
        <w:trPr>
          <w:trHeight w:val="442"/>
        </w:trPr>
        <w:tc>
          <w:tcPr>
            <w:tcW w:w="399" w:type="dxa"/>
            <w:tcBorders>
              <w:top w:val="nil"/>
              <w:left w:val="single" w:sz="6" w:space="0" w:color="3A73AE"/>
              <w:bottom w:val="single" w:sz="6" w:space="0" w:color="3A73AE"/>
              <w:right w:val="single" w:sz="6" w:space="0" w:color="3A73AE"/>
            </w:tcBorders>
            <w:shd w:val="clear" w:color="auto" w:fill="auto"/>
            <w:vAlign w:val="center"/>
          </w:tcPr>
          <w:p w14:paraId="31A9F8C8" w14:textId="275D28E6" w:rsidR="0077163D" w:rsidRPr="00D60852" w:rsidRDefault="00D60852" w:rsidP="00787C9F">
            <w:pPr>
              <w:jc w:val="center"/>
              <w:rPr>
                <w:rFonts w:cstheme="minorHAnsi"/>
                <w:sz w:val="16"/>
                <w:szCs w:val="16"/>
                <w:lang w:val="en-US"/>
              </w:rPr>
            </w:pPr>
            <w:r>
              <w:rPr>
                <w:rFonts w:cstheme="minorHAnsi"/>
                <w:sz w:val="16"/>
                <w:szCs w:val="16"/>
                <w:lang w:val="en-US"/>
              </w:rPr>
              <w:t>8</w:t>
            </w:r>
          </w:p>
        </w:tc>
        <w:tc>
          <w:tcPr>
            <w:tcW w:w="2398" w:type="dxa"/>
            <w:tcBorders>
              <w:top w:val="nil"/>
              <w:left w:val="nil"/>
              <w:bottom w:val="single" w:sz="6" w:space="0" w:color="3A73AE"/>
              <w:right w:val="single" w:sz="6" w:space="0" w:color="3A73AE"/>
            </w:tcBorders>
            <w:shd w:val="clear" w:color="auto" w:fill="auto"/>
            <w:vAlign w:val="center"/>
          </w:tcPr>
          <w:p w14:paraId="60B9EEEA" w14:textId="2606FDEB" w:rsidR="0077163D" w:rsidRPr="00253EBA" w:rsidRDefault="0077163D" w:rsidP="0077163D">
            <w:pPr>
              <w:rPr>
                <w:rFonts w:eastAsia="Times New Roman" w:cstheme="minorHAnsi"/>
                <w:sz w:val="16"/>
                <w:szCs w:val="16"/>
                <w:lang w:eastAsia="el-GR"/>
              </w:rPr>
            </w:pPr>
            <w:r w:rsidRPr="00253EBA">
              <w:rPr>
                <w:rFonts w:eastAsia="Times New Roman" w:cstheme="minorHAnsi"/>
                <w:sz w:val="16"/>
                <w:szCs w:val="16"/>
                <w:lang w:eastAsia="el-GR"/>
              </w:rPr>
              <w:t xml:space="preserve">Αποτέλεσμα προ </w:t>
            </w:r>
            <w:r>
              <w:rPr>
                <w:rFonts w:eastAsia="Times New Roman" w:cstheme="minorHAnsi"/>
                <w:sz w:val="16"/>
                <w:szCs w:val="16"/>
                <w:lang w:eastAsia="el-GR"/>
              </w:rPr>
              <w:t>φόρων και</w:t>
            </w:r>
            <w:r w:rsidRPr="00253EBA">
              <w:rPr>
                <w:rFonts w:eastAsia="Times New Roman" w:cstheme="minorHAnsi"/>
                <w:sz w:val="16"/>
                <w:szCs w:val="16"/>
                <w:lang w:eastAsia="el-GR"/>
              </w:rPr>
              <w:t xml:space="preserve"> προβλέψεων </w:t>
            </w:r>
            <w:r>
              <w:rPr>
                <w:rFonts w:eastAsia="Times New Roman" w:cstheme="minorHAnsi"/>
                <w:sz w:val="16"/>
                <w:szCs w:val="16"/>
                <w:lang w:eastAsia="el-GR"/>
              </w:rPr>
              <w:t>σε συγκρίσιμη βάση</w:t>
            </w:r>
          </w:p>
        </w:tc>
        <w:tc>
          <w:tcPr>
            <w:tcW w:w="6300" w:type="dxa"/>
            <w:tcBorders>
              <w:top w:val="nil"/>
              <w:left w:val="nil"/>
              <w:bottom w:val="single" w:sz="6" w:space="0" w:color="3A73AE"/>
              <w:right w:val="single" w:sz="6" w:space="0" w:color="3A73AE"/>
            </w:tcBorders>
            <w:shd w:val="clear" w:color="auto" w:fill="auto"/>
            <w:vAlign w:val="center"/>
          </w:tcPr>
          <w:p w14:paraId="580F742D" w14:textId="64F49AAF" w:rsidR="0077163D" w:rsidRPr="004400C4" w:rsidRDefault="0054468F" w:rsidP="004400C4">
            <w:pPr>
              <w:rPr>
                <w:rFonts w:eastAsia="Times New Roman" w:cstheme="minorHAnsi"/>
                <w:sz w:val="16"/>
                <w:szCs w:val="16"/>
                <w:lang w:eastAsia="el-GR"/>
              </w:rPr>
            </w:pPr>
            <w:r w:rsidRPr="00253EBA">
              <w:rPr>
                <w:rFonts w:eastAsia="Times New Roman" w:cstheme="minorHAnsi"/>
                <w:sz w:val="16"/>
                <w:szCs w:val="16"/>
                <w:lang w:eastAsia="el-GR"/>
              </w:rPr>
              <w:t>Κέρδη προ προβλέψεων,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και φόρου εισοδήματος </w:t>
            </w:r>
            <w:r>
              <w:rPr>
                <w:rFonts w:eastAsia="Times New Roman" w:cstheme="minorHAnsi"/>
                <w:sz w:val="16"/>
                <w:szCs w:val="16"/>
                <w:lang w:eastAsia="el-GR"/>
              </w:rPr>
              <w:t>, εξαιρουμένων εφάπαξ στοιχείων και σε συγκρίσιμη βάση σύμφωνα με τα στοιχεία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3</w:t>
            </w:r>
            <w:r>
              <w:rPr>
                <w:rFonts w:eastAsia="Times New Roman" w:cstheme="minorHAnsi"/>
                <w:sz w:val="16"/>
                <w:szCs w:val="16"/>
                <w:lang w:eastAsia="el-GR"/>
              </w:rPr>
              <w:t xml:space="preserve"> και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4</w:t>
            </w:r>
          </w:p>
        </w:tc>
      </w:tr>
      <w:tr w:rsidR="00787C9F" w:rsidRPr="00253EBA" w14:paraId="09719E48" w14:textId="77777777" w:rsidTr="0092615F">
        <w:trPr>
          <w:trHeight w:val="476"/>
        </w:trPr>
        <w:tc>
          <w:tcPr>
            <w:tcW w:w="399" w:type="dxa"/>
            <w:tcBorders>
              <w:top w:val="nil"/>
              <w:left w:val="single" w:sz="6" w:space="0" w:color="3A73AE"/>
              <w:bottom w:val="single" w:sz="6" w:space="0" w:color="3A73AE"/>
              <w:right w:val="single" w:sz="6" w:space="0" w:color="3A73AE"/>
            </w:tcBorders>
            <w:shd w:val="clear" w:color="auto" w:fill="auto"/>
            <w:vAlign w:val="center"/>
          </w:tcPr>
          <w:p w14:paraId="3AC2C93F" w14:textId="6200EA5E" w:rsidR="00787C9F" w:rsidRPr="00D60852" w:rsidRDefault="00D60852" w:rsidP="00787C9F">
            <w:pPr>
              <w:jc w:val="center"/>
              <w:rPr>
                <w:rFonts w:cstheme="minorHAnsi"/>
                <w:sz w:val="16"/>
                <w:szCs w:val="16"/>
                <w:lang w:val="en-US"/>
              </w:rPr>
            </w:pPr>
            <w:r>
              <w:rPr>
                <w:rFonts w:cstheme="minorHAnsi"/>
                <w:sz w:val="16"/>
                <w:szCs w:val="16"/>
                <w:lang w:val="en-US"/>
              </w:rPr>
              <w:t>9</w:t>
            </w:r>
          </w:p>
        </w:tc>
        <w:tc>
          <w:tcPr>
            <w:tcW w:w="2398" w:type="dxa"/>
            <w:tcBorders>
              <w:top w:val="nil"/>
              <w:left w:val="nil"/>
              <w:bottom w:val="single" w:sz="6" w:space="0" w:color="3A73AE"/>
              <w:right w:val="single" w:sz="6" w:space="0" w:color="3A73AE"/>
            </w:tcBorders>
            <w:shd w:val="clear" w:color="auto" w:fill="auto"/>
            <w:vAlign w:val="center"/>
          </w:tcPr>
          <w:p w14:paraId="5DAF5A70"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Αποτέλεσμα (κέρδη) προ φόρων</w:t>
            </w:r>
          </w:p>
        </w:tc>
        <w:tc>
          <w:tcPr>
            <w:tcW w:w="6300" w:type="dxa"/>
            <w:tcBorders>
              <w:top w:val="nil"/>
              <w:left w:val="nil"/>
              <w:bottom w:val="single" w:sz="6" w:space="0" w:color="3A73AE"/>
              <w:right w:val="single" w:sz="6" w:space="0" w:color="3A73AE"/>
            </w:tcBorders>
            <w:shd w:val="clear" w:color="auto" w:fill="FFFFFF"/>
            <w:vAlign w:val="center"/>
          </w:tcPr>
          <w:p w14:paraId="2B2D71C0"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Κέρδη / ζημία προ φόρου εισοδήματος</w:t>
            </w:r>
          </w:p>
        </w:tc>
      </w:tr>
      <w:tr w:rsidR="00787C9F" w:rsidRPr="00253EBA" w14:paraId="26F24780" w14:textId="77777777" w:rsidTr="0092615F">
        <w:trPr>
          <w:trHeight w:val="755"/>
        </w:trPr>
        <w:tc>
          <w:tcPr>
            <w:tcW w:w="399" w:type="dxa"/>
            <w:tcBorders>
              <w:top w:val="nil"/>
              <w:left w:val="single" w:sz="6" w:space="0" w:color="3A73AE"/>
              <w:bottom w:val="single" w:sz="6" w:space="0" w:color="3A73AE"/>
              <w:right w:val="single" w:sz="6" w:space="0" w:color="3A73AE"/>
            </w:tcBorders>
            <w:shd w:val="clear" w:color="auto" w:fill="auto"/>
            <w:vAlign w:val="center"/>
          </w:tcPr>
          <w:p w14:paraId="66D1E73A" w14:textId="4E99173A" w:rsidR="00787C9F" w:rsidRPr="00D60852" w:rsidRDefault="00D60852" w:rsidP="00787C9F">
            <w:pPr>
              <w:jc w:val="center"/>
              <w:rPr>
                <w:rFonts w:cstheme="minorHAnsi"/>
                <w:sz w:val="16"/>
                <w:szCs w:val="16"/>
                <w:lang w:val="en-US"/>
              </w:rPr>
            </w:pPr>
            <w:r>
              <w:rPr>
                <w:rFonts w:cstheme="minorHAnsi"/>
                <w:sz w:val="16"/>
                <w:szCs w:val="16"/>
                <w:lang w:val="en-US"/>
              </w:rPr>
              <w:t>10</w:t>
            </w:r>
          </w:p>
        </w:tc>
        <w:tc>
          <w:tcPr>
            <w:tcW w:w="2398" w:type="dxa"/>
            <w:tcBorders>
              <w:top w:val="nil"/>
              <w:left w:val="nil"/>
              <w:bottom w:val="single" w:sz="6" w:space="0" w:color="3A73AE"/>
              <w:right w:val="single" w:sz="6" w:space="0" w:color="3A73AE"/>
            </w:tcBorders>
            <w:shd w:val="clear" w:color="auto" w:fill="auto"/>
            <w:vAlign w:val="center"/>
          </w:tcPr>
          <w:p w14:paraId="1DA08951" w14:textId="44FB7B30" w:rsidR="00787C9F" w:rsidRPr="00253EBA" w:rsidRDefault="0077163D" w:rsidP="0077163D">
            <w:pPr>
              <w:rPr>
                <w:rFonts w:cstheme="minorHAnsi"/>
                <w:sz w:val="16"/>
                <w:szCs w:val="16"/>
              </w:rPr>
            </w:pPr>
            <w:r>
              <w:rPr>
                <w:rFonts w:eastAsia="Times New Roman" w:cstheme="minorHAnsi"/>
                <w:sz w:val="16"/>
                <w:szCs w:val="16"/>
                <w:lang w:eastAsia="el-GR"/>
              </w:rPr>
              <w:t>Αποτέλεσμα (κέρδη) προ φόρων</w:t>
            </w:r>
            <w:r w:rsidR="00787C9F" w:rsidRPr="00253EBA">
              <w:rPr>
                <w:rFonts w:eastAsia="Times New Roman" w:cstheme="minorHAnsi"/>
                <w:sz w:val="16"/>
                <w:szCs w:val="16"/>
                <w:lang w:eastAsia="el-GR"/>
              </w:rPr>
              <w:t xml:space="preserve"> σε </w:t>
            </w:r>
            <w:r w:rsidR="00AC2977" w:rsidRPr="00253EBA">
              <w:rPr>
                <w:rFonts w:eastAsia="Times New Roman" w:cstheme="minorHAnsi"/>
                <w:sz w:val="16"/>
                <w:szCs w:val="16"/>
                <w:lang w:eastAsia="el-GR"/>
              </w:rPr>
              <w:t>συγκρίσιμη</w:t>
            </w:r>
            <w:r w:rsidR="00787C9F" w:rsidRPr="00253EBA">
              <w:rPr>
                <w:rFonts w:eastAsia="Times New Roman" w:cstheme="minorHAnsi"/>
                <w:sz w:val="16"/>
                <w:szCs w:val="16"/>
                <w:lang w:eastAsia="el-GR"/>
              </w:rPr>
              <w:t xml:space="preserve"> βάση  </w:t>
            </w:r>
          </w:p>
        </w:tc>
        <w:tc>
          <w:tcPr>
            <w:tcW w:w="6300" w:type="dxa"/>
            <w:tcBorders>
              <w:top w:val="nil"/>
              <w:left w:val="nil"/>
              <w:bottom w:val="single" w:sz="6" w:space="0" w:color="3A73AE"/>
              <w:right w:val="single" w:sz="6" w:space="0" w:color="3A73AE"/>
            </w:tcBorders>
            <w:shd w:val="clear" w:color="auto" w:fill="FFFFFF"/>
            <w:vAlign w:val="center"/>
          </w:tcPr>
          <w:p w14:paraId="32C0BBD2" w14:textId="511C8DEB" w:rsidR="00787C9F" w:rsidRPr="004400C4" w:rsidRDefault="00787C9F" w:rsidP="004400C4">
            <w:pPr>
              <w:rPr>
                <w:rFonts w:cstheme="minorHAnsi"/>
                <w:sz w:val="16"/>
                <w:szCs w:val="16"/>
              </w:rPr>
            </w:pPr>
            <w:r w:rsidRPr="00253EBA">
              <w:rPr>
                <w:rFonts w:eastAsia="Times New Roman" w:cstheme="minorHAnsi"/>
                <w:sz w:val="16"/>
                <w:szCs w:val="16"/>
                <w:lang w:eastAsia="el-GR"/>
              </w:rPr>
              <w:t xml:space="preserve">Κέρδη / ζημία προ φόρου εισοδήματος, </w:t>
            </w:r>
            <w:r w:rsidR="0054468F">
              <w:rPr>
                <w:rFonts w:eastAsia="Times New Roman" w:cstheme="minorHAnsi"/>
                <w:sz w:val="16"/>
                <w:szCs w:val="16"/>
                <w:lang w:eastAsia="el-GR"/>
              </w:rPr>
              <w:t>εξαιρουμένων εφάπαξ στοιχείων και σε συγκρίσιμη βάση σύμφωνα με τα στοιχεία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3</w:t>
            </w:r>
            <w:r w:rsidR="0054468F">
              <w:rPr>
                <w:rFonts w:eastAsia="Times New Roman" w:cstheme="minorHAnsi"/>
                <w:sz w:val="16"/>
                <w:szCs w:val="16"/>
                <w:lang w:eastAsia="el-GR"/>
              </w:rPr>
              <w:t xml:space="preserve"> και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4</w:t>
            </w:r>
          </w:p>
        </w:tc>
      </w:tr>
      <w:tr w:rsidR="00787C9F" w:rsidRPr="00253EBA" w14:paraId="64574401"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37ADB5AB" w14:textId="7FBFCA0C"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1</w:t>
            </w:r>
          </w:p>
        </w:tc>
        <w:tc>
          <w:tcPr>
            <w:tcW w:w="2398" w:type="dxa"/>
            <w:tcBorders>
              <w:top w:val="nil"/>
              <w:left w:val="single" w:sz="6" w:space="0" w:color="FFC000"/>
              <w:bottom w:val="single" w:sz="6" w:space="0" w:color="3A73AE"/>
              <w:right w:val="single" w:sz="4" w:space="0" w:color="auto"/>
            </w:tcBorders>
            <w:shd w:val="clear" w:color="auto" w:fill="FFFFFF"/>
            <w:vAlign w:val="center"/>
          </w:tcPr>
          <w:p w14:paraId="1E1F357E"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Βασικά τραπεζικά έσοδα μείον  Επαναλαμβανόμενα Λειτουργικά Έξοδα </w:t>
            </w:r>
          </w:p>
        </w:tc>
        <w:tc>
          <w:tcPr>
            <w:tcW w:w="6300" w:type="dxa"/>
            <w:tcBorders>
              <w:top w:val="nil"/>
              <w:left w:val="single" w:sz="4" w:space="0" w:color="auto"/>
              <w:bottom w:val="single" w:sz="6" w:space="0" w:color="3A73AE"/>
              <w:right w:val="single" w:sz="6" w:space="0" w:color="3A73AE"/>
            </w:tcBorders>
            <w:shd w:val="clear" w:color="auto" w:fill="auto"/>
            <w:vAlign w:val="center"/>
          </w:tcPr>
          <w:p w14:paraId="2E53EA7B" w14:textId="3DFAF620" w:rsidR="00787C9F" w:rsidRPr="004400C4" w:rsidRDefault="00787C9F" w:rsidP="004400C4">
            <w:pPr>
              <w:rPr>
                <w:rFonts w:cstheme="minorHAnsi"/>
                <w:sz w:val="16"/>
                <w:szCs w:val="16"/>
              </w:rPr>
            </w:pPr>
            <w:r w:rsidRPr="00253EBA">
              <w:rPr>
                <w:rFonts w:eastAsia="Times New Roman" w:cstheme="minorHAnsi"/>
                <w:sz w:val="16"/>
                <w:szCs w:val="16"/>
                <w:lang w:eastAsia="el-GR"/>
              </w:rPr>
              <w:t>Καθαρά έσοδα τόκων συν (+) καθαρά έσοδα προμηθειών μείον (-) λειτουργικά έξοδα εξαιρουμένων των μη επαναλαμβανόμενων στοιχε</w:t>
            </w:r>
            <w:r w:rsidR="0054468F">
              <w:rPr>
                <w:rFonts w:eastAsia="Times New Roman" w:cstheme="minorHAnsi"/>
                <w:sz w:val="16"/>
                <w:szCs w:val="16"/>
                <w:lang w:eastAsia="el-GR"/>
              </w:rPr>
              <w:t>ίων σύμφωνα με το στοιχείο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3</w:t>
            </w:r>
          </w:p>
        </w:tc>
      </w:tr>
      <w:tr w:rsidR="00787C9F" w:rsidRPr="00253EBA" w14:paraId="0DAAF600"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02D8B39B" w14:textId="783B65A0"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2</w:t>
            </w:r>
          </w:p>
        </w:tc>
        <w:tc>
          <w:tcPr>
            <w:tcW w:w="2398" w:type="dxa"/>
            <w:tcBorders>
              <w:top w:val="nil"/>
              <w:left w:val="nil"/>
              <w:bottom w:val="single" w:sz="6" w:space="0" w:color="3A73AE"/>
              <w:right w:val="single" w:sz="6" w:space="0" w:color="3A73AE"/>
            </w:tcBorders>
            <w:shd w:val="clear" w:color="auto" w:fill="auto"/>
            <w:vAlign w:val="center"/>
          </w:tcPr>
          <w:p w14:paraId="4E6F0199"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Δάνεια προ Προβλέψεων </w:t>
            </w:r>
          </w:p>
        </w:tc>
        <w:tc>
          <w:tcPr>
            <w:tcW w:w="6300" w:type="dxa"/>
            <w:tcBorders>
              <w:top w:val="nil"/>
              <w:left w:val="nil"/>
              <w:bottom w:val="single" w:sz="6" w:space="0" w:color="3A73AE"/>
              <w:right w:val="single" w:sz="6" w:space="0" w:color="3A73AE"/>
            </w:tcBorders>
            <w:shd w:val="clear" w:color="auto" w:fill="auto"/>
            <w:vAlign w:val="center"/>
          </w:tcPr>
          <w:p w14:paraId="139D1E95"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Δάνεια και απαιτήσεις κατά πελατών στο </w:t>
            </w:r>
            <w:proofErr w:type="spellStart"/>
            <w:r w:rsidRPr="00253EBA">
              <w:rPr>
                <w:rFonts w:eastAsia="Times New Roman" w:cstheme="minorHAnsi"/>
                <w:sz w:val="16"/>
                <w:szCs w:val="16"/>
                <w:lang w:eastAsia="el-GR"/>
              </w:rPr>
              <w:t>αποσβέσιμο</w:t>
            </w:r>
            <w:proofErr w:type="spellEnd"/>
            <w:r w:rsidRPr="00253EBA">
              <w:rPr>
                <w:rFonts w:eastAsia="Times New Roman" w:cstheme="minorHAnsi"/>
                <w:sz w:val="16"/>
                <w:szCs w:val="16"/>
                <w:lang w:eastAsia="el-GR"/>
              </w:rPr>
              <w:t> κόστος προ αναμενόμενων πιστωτικών ζημιών </w:t>
            </w:r>
          </w:p>
        </w:tc>
      </w:tr>
      <w:tr w:rsidR="00787C9F" w:rsidRPr="00253EBA" w14:paraId="7DBAC06F"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72AC167E" w14:textId="3A4670FF"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3</w:t>
            </w:r>
          </w:p>
        </w:tc>
        <w:tc>
          <w:tcPr>
            <w:tcW w:w="2398" w:type="dxa"/>
            <w:tcBorders>
              <w:top w:val="nil"/>
              <w:left w:val="nil"/>
              <w:bottom w:val="single" w:sz="6" w:space="0" w:color="3A73AE"/>
              <w:right w:val="single" w:sz="6" w:space="0" w:color="3A73AE"/>
            </w:tcBorders>
            <w:shd w:val="clear" w:color="auto" w:fill="auto"/>
          </w:tcPr>
          <w:p w14:paraId="4EE7DE54" w14:textId="77777777" w:rsidR="00787C9F" w:rsidRPr="00253EBA" w:rsidRDefault="00787C9F" w:rsidP="00787C9F">
            <w:pPr>
              <w:rPr>
                <w:rFonts w:cstheme="minorHAnsi"/>
                <w:b/>
                <w:bCs/>
                <w:sz w:val="16"/>
                <w:szCs w:val="16"/>
                <w:lang w:val="en-US"/>
              </w:rPr>
            </w:pPr>
            <w:r w:rsidRPr="00253EBA">
              <w:rPr>
                <w:rFonts w:eastAsia="Times New Roman" w:cstheme="minorHAnsi"/>
                <w:sz w:val="16"/>
                <w:szCs w:val="16"/>
                <w:lang w:eastAsia="el-GR"/>
              </w:rPr>
              <w:t>Δάνεια μετά από Προβλέψεις  </w:t>
            </w:r>
          </w:p>
        </w:tc>
        <w:tc>
          <w:tcPr>
            <w:tcW w:w="6300" w:type="dxa"/>
            <w:tcBorders>
              <w:top w:val="nil"/>
              <w:left w:val="nil"/>
              <w:bottom w:val="single" w:sz="6" w:space="0" w:color="3A73AE"/>
              <w:right w:val="single" w:sz="6" w:space="0" w:color="3A73AE"/>
            </w:tcBorders>
            <w:shd w:val="clear" w:color="auto" w:fill="auto"/>
          </w:tcPr>
          <w:p w14:paraId="30490E6A"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Δάνεια μετά από προβλέψεις στο </w:t>
            </w:r>
            <w:proofErr w:type="spellStart"/>
            <w:r w:rsidRPr="00253EBA">
              <w:rPr>
                <w:rFonts w:eastAsia="Times New Roman" w:cstheme="minorHAnsi"/>
                <w:sz w:val="16"/>
                <w:szCs w:val="16"/>
                <w:lang w:eastAsia="el-GR"/>
              </w:rPr>
              <w:t>αποσβέσιμο</w:t>
            </w:r>
            <w:proofErr w:type="spellEnd"/>
            <w:r w:rsidRPr="00253EBA">
              <w:rPr>
                <w:rFonts w:eastAsia="Times New Roman" w:cstheme="minorHAnsi"/>
                <w:sz w:val="16"/>
                <w:szCs w:val="16"/>
                <w:lang w:eastAsia="el-GR"/>
              </w:rPr>
              <w:t> κόστος  </w:t>
            </w:r>
          </w:p>
        </w:tc>
      </w:tr>
      <w:tr w:rsidR="00787C9F" w:rsidRPr="00253EBA" w14:paraId="7E393C8F" w14:textId="77777777" w:rsidTr="0092615F">
        <w:trPr>
          <w:trHeight w:val="326"/>
        </w:trPr>
        <w:tc>
          <w:tcPr>
            <w:tcW w:w="399" w:type="dxa"/>
            <w:tcBorders>
              <w:top w:val="nil"/>
              <w:left w:val="single" w:sz="6" w:space="0" w:color="3A73AE"/>
              <w:bottom w:val="single" w:sz="6" w:space="0" w:color="3A73AE"/>
              <w:right w:val="single" w:sz="6" w:space="0" w:color="3A73AE"/>
            </w:tcBorders>
            <w:shd w:val="clear" w:color="auto" w:fill="auto"/>
            <w:vAlign w:val="center"/>
          </w:tcPr>
          <w:p w14:paraId="007570EB" w14:textId="1AED20F3"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4</w:t>
            </w:r>
          </w:p>
        </w:tc>
        <w:tc>
          <w:tcPr>
            <w:tcW w:w="2398" w:type="dxa"/>
            <w:tcBorders>
              <w:top w:val="nil"/>
              <w:left w:val="nil"/>
              <w:bottom w:val="single" w:sz="6" w:space="0" w:color="3A73AE"/>
              <w:right w:val="single" w:sz="6" w:space="0" w:color="3A73AE"/>
            </w:tcBorders>
            <w:shd w:val="clear" w:color="auto" w:fill="auto"/>
            <w:vAlign w:val="center"/>
          </w:tcPr>
          <w:p w14:paraId="34798DF6"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Δείκτης δανείων προς καταθέσεις </w:t>
            </w:r>
          </w:p>
        </w:tc>
        <w:tc>
          <w:tcPr>
            <w:tcW w:w="6300" w:type="dxa"/>
            <w:tcBorders>
              <w:top w:val="nil"/>
              <w:left w:val="nil"/>
              <w:bottom w:val="single" w:sz="6" w:space="0" w:color="3A73AE"/>
              <w:right w:val="single" w:sz="6" w:space="0" w:color="3A73AE"/>
            </w:tcBorders>
            <w:shd w:val="clear" w:color="auto" w:fill="auto"/>
            <w:vAlign w:val="center"/>
          </w:tcPr>
          <w:p w14:paraId="3647DEC0"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Δάνεια μετά από προβλέψεις προς (/) Καταθέσεις   </w:t>
            </w:r>
          </w:p>
        </w:tc>
      </w:tr>
      <w:tr w:rsidR="00787C9F" w:rsidRPr="00253EBA" w14:paraId="016987FD" w14:textId="77777777" w:rsidTr="0092615F">
        <w:trPr>
          <w:trHeight w:val="570"/>
        </w:trPr>
        <w:tc>
          <w:tcPr>
            <w:tcW w:w="399" w:type="dxa"/>
            <w:tcBorders>
              <w:top w:val="nil"/>
              <w:left w:val="single" w:sz="6" w:space="0" w:color="3A73AE"/>
              <w:bottom w:val="single" w:sz="6" w:space="0" w:color="3A73AE"/>
              <w:right w:val="single" w:sz="6" w:space="0" w:color="3A73AE"/>
            </w:tcBorders>
            <w:shd w:val="clear" w:color="auto" w:fill="auto"/>
            <w:vAlign w:val="center"/>
          </w:tcPr>
          <w:p w14:paraId="74D52325" w14:textId="540F839D" w:rsidR="00787C9F" w:rsidRPr="00D60852" w:rsidRDefault="00787C9F" w:rsidP="00D60852">
            <w:pPr>
              <w:jc w:val="center"/>
              <w:rPr>
                <w:rFonts w:cstheme="minorHAnsi"/>
                <w:sz w:val="16"/>
                <w:szCs w:val="16"/>
                <w:lang w:val="en-US"/>
              </w:rPr>
            </w:pPr>
            <w:r w:rsidRPr="00253EBA">
              <w:rPr>
                <w:rFonts w:cstheme="minorHAnsi"/>
                <w:sz w:val="16"/>
                <w:szCs w:val="16"/>
                <w:lang w:val="en-US"/>
              </w:rPr>
              <w:lastRenderedPageBreak/>
              <w:t>1</w:t>
            </w:r>
            <w:r w:rsidR="00D60852">
              <w:rPr>
                <w:rFonts w:cstheme="minorHAnsi"/>
                <w:sz w:val="16"/>
                <w:szCs w:val="16"/>
                <w:lang w:val="en-US"/>
              </w:rPr>
              <w:t>5</w:t>
            </w:r>
          </w:p>
        </w:tc>
        <w:tc>
          <w:tcPr>
            <w:tcW w:w="2398" w:type="dxa"/>
            <w:tcBorders>
              <w:top w:val="nil"/>
              <w:left w:val="nil"/>
              <w:bottom w:val="single" w:sz="6" w:space="0" w:color="3A73AE"/>
              <w:right w:val="single" w:sz="6" w:space="0" w:color="3A73AE"/>
            </w:tcBorders>
            <w:shd w:val="clear" w:color="auto" w:fill="auto"/>
            <w:vAlign w:val="center"/>
          </w:tcPr>
          <w:p w14:paraId="2FB2438B"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Δείκτης Κάλυψης ΜΕΑ από αναμενόμενες πιστωτικές ζημίες (σωρευτικές προβλέψεις)</w:t>
            </w:r>
          </w:p>
        </w:tc>
        <w:tc>
          <w:tcPr>
            <w:tcW w:w="6300" w:type="dxa"/>
            <w:tcBorders>
              <w:top w:val="nil"/>
              <w:left w:val="nil"/>
              <w:bottom w:val="single" w:sz="6" w:space="0" w:color="3A73AE"/>
              <w:right w:val="single" w:sz="6" w:space="0" w:color="3A73AE"/>
            </w:tcBorders>
            <w:shd w:val="clear" w:color="auto" w:fill="FFFFFF"/>
            <w:vAlign w:val="center"/>
          </w:tcPr>
          <w:p w14:paraId="64D60422"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Αναμενόμενες πιστωτικές ζημιές προς (/) ΜΕΑ </w:t>
            </w:r>
          </w:p>
        </w:tc>
      </w:tr>
      <w:tr w:rsidR="00787C9F" w:rsidRPr="00253EBA" w14:paraId="5531AB55" w14:textId="77777777" w:rsidTr="0092615F">
        <w:trPr>
          <w:trHeight w:val="315"/>
        </w:trPr>
        <w:tc>
          <w:tcPr>
            <w:tcW w:w="399" w:type="dxa"/>
            <w:tcBorders>
              <w:top w:val="nil"/>
              <w:left w:val="single" w:sz="6" w:space="0" w:color="3A73AE"/>
              <w:bottom w:val="single" w:sz="6" w:space="0" w:color="3A73AE"/>
              <w:right w:val="single" w:sz="6" w:space="0" w:color="3A73AE"/>
            </w:tcBorders>
            <w:shd w:val="clear" w:color="auto" w:fill="auto"/>
            <w:vAlign w:val="center"/>
          </w:tcPr>
          <w:p w14:paraId="48929D25" w14:textId="73129A06" w:rsidR="00787C9F" w:rsidRPr="00D60852" w:rsidRDefault="00787C9F" w:rsidP="00D60852">
            <w:pPr>
              <w:jc w:val="center"/>
              <w:rPr>
                <w:rFonts w:cstheme="minorHAnsi"/>
                <w:sz w:val="16"/>
                <w:szCs w:val="16"/>
                <w:lang w:val="en-US"/>
              </w:rPr>
            </w:pPr>
            <w:r w:rsidRPr="00253EBA">
              <w:rPr>
                <w:rFonts w:cstheme="minorHAnsi"/>
                <w:sz w:val="16"/>
                <w:szCs w:val="16"/>
              </w:rPr>
              <w:t>1</w:t>
            </w:r>
            <w:r w:rsidR="00D60852">
              <w:rPr>
                <w:rFonts w:cstheme="minorHAnsi"/>
                <w:sz w:val="16"/>
                <w:szCs w:val="16"/>
                <w:lang w:val="en-US"/>
              </w:rPr>
              <w:t>6</w:t>
            </w:r>
          </w:p>
        </w:tc>
        <w:tc>
          <w:tcPr>
            <w:tcW w:w="2398" w:type="dxa"/>
            <w:tcBorders>
              <w:top w:val="nil"/>
              <w:left w:val="nil"/>
              <w:bottom w:val="single" w:sz="6" w:space="0" w:color="3A73AE"/>
              <w:right w:val="single" w:sz="6" w:space="0" w:color="3A73AE"/>
            </w:tcBorders>
            <w:shd w:val="clear" w:color="auto" w:fill="auto"/>
            <w:vAlign w:val="center"/>
          </w:tcPr>
          <w:p w14:paraId="3BA3830A"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Δείκτης κάλυψης ρευστότητας (LCR) </w:t>
            </w:r>
          </w:p>
        </w:tc>
        <w:tc>
          <w:tcPr>
            <w:tcW w:w="6300" w:type="dxa"/>
            <w:tcBorders>
              <w:top w:val="nil"/>
              <w:left w:val="nil"/>
              <w:bottom w:val="single" w:sz="6" w:space="0" w:color="3A73AE"/>
              <w:right w:val="single" w:sz="6" w:space="0" w:color="3A73AE"/>
            </w:tcBorders>
            <w:shd w:val="clear" w:color="auto" w:fill="auto"/>
          </w:tcPr>
          <w:p w14:paraId="0AE6D979"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Ο δείκτης κάλυψης ρευστότητας είναι το ποσό του επαρκούς αποθέματος ασφαλείας ρευστότητας ώστε μια τράπεζα να επιβιώσει από ένα σημαντικό σενάριο ακραίων καταστάσεων που διαρκεί έναν μήνα </w:t>
            </w:r>
          </w:p>
        </w:tc>
      </w:tr>
      <w:tr w:rsidR="00787C9F" w:rsidRPr="00253EBA" w14:paraId="6660149E" w14:textId="77777777" w:rsidTr="0092615F">
        <w:trPr>
          <w:trHeight w:val="405"/>
        </w:trPr>
        <w:tc>
          <w:tcPr>
            <w:tcW w:w="399" w:type="dxa"/>
            <w:tcBorders>
              <w:top w:val="nil"/>
              <w:left w:val="single" w:sz="6" w:space="0" w:color="3A73AE"/>
              <w:bottom w:val="single" w:sz="6" w:space="0" w:color="3A73AE"/>
              <w:right w:val="single" w:sz="6" w:space="0" w:color="3A73AE"/>
            </w:tcBorders>
            <w:shd w:val="clear" w:color="auto" w:fill="auto"/>
            <w:vAlign w:val="center"/>
          </w:tcPr>
          <w:p w14:paraId="6D86B471" w14:textId="50AAD191"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7</w:t>
            </w:r>
          </w:p>
        </w:tc>
        <w:tc>
          <w:tcPr>
            <w:tcW w:w="2398" w:type="dxa"/>
            <w:tcBorders>
              <w:top w:val="nil"/>
              <w:left w:val="nil"/>
              <w:bottom w:val="single" w:sz="6" w:space="0" w:color="3A73AE"/>
              <w:right w:val="single" w:sz="6" w:space="0" w:color="3A73AE"/>
            </w:tcBorders>
            <w:shd w:val="clear" w:color="auto" w:fill="auto"/>
            <w:vAlign w:val="center"/>
          </w:tcPr>
          <w:p w14:paraId="63C547B6"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 xml:space="preserve">Δείκτης κόστους προς έσοδα </w:t>
            </w:r>
          </w:p>
        </w:tc>
        <w:tc>
          <w:tcPr>
            <w:tcW w:w="6300" w:type="dxa"/>
            <w:tcBorders>
              <w:top w:val="nil"/>
              <w:left w:val="nil"/>
              <w:bottom w:val="single" w:sz="6" w:space="0" w:color="3A73AE"/>
              <w:right w:val="single" w:sz="6" w:space="0" w:color="3A73AE"/>
            </w:tcBorders>
            <w:shd w:val="clear" w:color="auto" w:fill="auto"/>
            <w:vAlign w:val="center"/>
          </w:tcPr>
          <w:p w14:paraId="225D0A47"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Σύνολο λειτουργικών εξόδων πριν από προβλέψεις προς (/) Συνολικά καθαρά έσοδα</w:t>
            </w:r>
          </w:p>
        </w:tc>
      </w:tr>
      <w:tr w:rsidR="00787C9F" w:rsidRPr="00253EBA" w14:paraId="086CA4B8" w14:textId="77777777" w:rsidTr="0092615F">
        <w:trPr>
          <w:trHeight w:val="405"/>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0F03CE8A" w14:textId="4E023D71"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8</w:t>
            </w:r>
          </w:p>
        </w:tc>
        <w:tc>
          <w:tcPr>
            <w:tcW w:w="2398" w:type="dxa"/>
            <w:tcBorders>
              <w:top w:val="nil"/>
              <w:left w:val="nil"/>
              <w:bottom w:val="single" w:sz="6" w:space="0" w:color="3A73AE"/>
              <w:right w:val="single" w:sz="6" w:space="0" w:color="3A73AE"/>
            </w:tcBorders>
            <w:shd w:val="clear" w:color="auto" w:fill="auto"/>
            <w:vAlign w:val="center"/>
          </w:tcPr>
          <w:p w14:paraId="20172F25"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Δείκτης κόστους προς έσοδα (Επαναλαμβανόμενος) </w:t>
            </w:r>
          </w:p>
        </w:tc>
        <w:tc>
          <w:tcPr>
            <w:tcW w:w="6300" w:type="dxa"/>
            <w:tcBorders>
              <w:top w:val="nil"/>
              <w:left w:val="nil"/>
              <w:bottom w:val="single" w:sz="6" w:space="0" w:color="3A73AE"/>
              <w:right w:val="single" w:sz="6" w:space="0" w:color="3A73AE"/>
            </w:tcBorders>
            <w:shd w:val="clear" w:color="auto" w:fill="auto"/>
            <w:vAlign w:val="center"/>
          </w:tcPr>
          <w:p w14:paraId="34785BF5" w14:textId="79B7132D" w:rsidR="00787C9F" w:rsidRPr="004400C4" w:rsidRDefault="00787C9F" w:rsidP="004400C4">
            <w:pPr>
              <w:rPr>
                <w:rFonts w:cstheme="minorHAnsi"/>
                <w:sz w:val="16"/>
                <w:szCs w:val="16"/>
              </w:rPr>
            </w:pPr>
            <w:r w:rsidRPr="00253EBA">
              <w:rPr>
                <w:rFonts w:eastAsia="Times New Roman" w:cstheme="minorHAnsi"/>
                <w:sz w:val="16"/>
                <w:szCs w:val="16"/>
                <w:lang w:eastAsia="el-GR"/>
              </w:rPr>
              <w:t>Σύνολο λειτουργικών εξόδων πριν από προβλέψεις προς (/) Συνολικά καθαρά έσοδα, εξαιρουμένων των εφάπαξ στοιχείων που σχετίζονται με την αντίστοιχη περίοδο</w:t>
            </w:r>
            <w:r w:rsidR="0054468F">
              <w:rPr>
                <w:rFonts w:eastAsia="Times New Roman" w:cstheme="minorHAnsi"/>
                <w:sz w:val="16"/>
                <w:szCs w:val="16"/>
                <w:lang w:eastAsia="el-GR"/>
              </w:rPr>
              <w:t xml:space="preserve"> και σε συγκρίσιμη βάση, σύμφωνα με τα στοιχεία</w:t>
            </w:r>
            <w:r w:rsidRPr="00253EBA">
              <w:rPr>
                <w:rFonts w:eastAsia="Times New Roman" w:cstheme="minorHAnsi"/>
                <w:sz w:val="16"/>
                <w:szCs w:val="16"/>
                <w:lang w:eastAsia="el-GR"/>
              </w:rPr>
              <w:t xml:space="preserve">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3</w:t>
            </w:r>
            <w:r w:rsidRPr="00253EBA">
              <w:rPr>
                <w:rFonts w:eastAsia="Times New Roman" w:cstheme="minorHAnsi"/>
                <w:sz w:val="16"/>
                <w:szCs w:val="16"/>
                <w:lang w:eastAsia="el-GR"/>
              </w:rPr>
              <w:t> </w:t>
            </w:r>
            <w:r w:rsidR="0054468F">
              <w:rPr>
                <w:rFonts w:eastAsia="Times New Roman" w:cstheme="minorHAnsi"/>
                <w:sz w:val="16"/>
                <w:szCs w:val="16"/>
                <w:lang w:eastAsia="el-GR"/>
              </w:rPr>
              <w:t>και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4</w:t>
            </w:r>
          </w:p>
        </w:tc>
      </w:tr>
      <w:tr w:rsidR="00787C9F" w:rsidRPr="00253EBA" w14:paraId="0B296508" w14:textId="77777777" w:rsidTr="0092615F">
        <w:trPr>
          <w:trHeight w:val="300"/>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4AF7CABC" w14:textId="1D13A870" w:rsidR="00787C9F" w:rsidRPr="00D60852" w:rsidRDefault="00787C9F" w:rsidP="00D60852">
            <w:pPr>
              <w:jc w:val="center"/>
              <w:rPr>
                <w:rFonts w:cstheme="minorHAnsi"/>
                <w:sz w:val="16"/>
                <w:szCs w:val="16"/>
                <w:lang w:val="en-US"/>
              </w:rPr>
            </w:pPr>
            <w:r w:rsidRPr="00253EBA">
              <w:rPr>
                <w:rFonts w:cstheme="minorHAnsi"/>
                <w:sz w:val="16"/>
                <w:szCs w:val="16"/>
                <w:lang w:val="en-US"/>
              </w:rPr>
              <w:t>1</w:t>
            </w:r>
            <w:r w:rsidR="00D60852">
              <w:rPr>
                <w:rFonts w:cstheme="minorHAnsi"/>
                <w:sz w:val="16"/>
                <w:szCs w:val="16"/>
                <w:lang w:val="en-US"/>
              </w:rPr>
              <w:t>9</w:t>
            </w:r>
          </w:p>
        </w:tc>
        <w:tc>
          <w:tcPr>
            <w:tcW w:w="2398" w:type="dxa"/>
            <w:tcBorders>
              <w:top w:val="nil"/>
              <w:left w:val="nil"/>
              <w:bottom w:val="single" w:sz="6" w:space="0" w:color="3A73AE"/>
              <w:right w:val="single" w:sz="6" w:space="0" w:color="3A73AE"/>
            </w:tcBorders>
            <w:shd w:val="clear" w:color="auto" w:fill="auto"/>
            <w:vAlign w:val="center"/>
          </w:tcPr>
          <w:p w14:paraId="1F29685D" w14:textId="77777777" w:rsidR="00787C9F" w:rsidRPr="00253EBA" w:rsidRDefault="00787C9F" w:rsidP="00787C9F">
            <w:pPr>
              <w:rPr>
                <w:rFonts w:cstheme="minorHAnsi"/>
                <w:sz w:val="16"/>
                <w:szCs w:val="16"/>
                <w:lang w:val="en-US"/>
              </w:rPr>
            </w:pPr>
            <w:r w:rsidRPr="00253EBA">
              <w:rPr>
                <w:rFonts w:eastAsia="Times New Roman" w:cstheme="minorHAnsi"/>
                <w:sz w:val="16"/>
                <w:szCs w:val="16"/>
                <w:lang w:eastAsia="el-GR"/>
              </w:rPr>
              <w:t>Δείκτης ΜΕΑ </w:t>
            </w:r>
          </w:p>
        </w:tc>
        <w:tc>
          <w:tcPr>
            <w:tcW w:w="6300" w:type="dxa"/>
            <w:tcBorders>
              <w:top w:val="nil"/>
              <w:left w:val="nil"/>
              <w:bottom w:val="single" w:sz="6" w:space="0" w:color="3A73AE"/>
              <w:right w:val="single" w:sz="6" w:space="0" w:color="3A73AE"/>
            </w:tcBorders>
            <w:shd w:val="clear" w:color="auto" w:fill="auto"/>
            <w:vAlign w:val="center"/>
          </w:tcPr>
          <w:p w14:paraId="12957800" w14:textId="1A54A348" w:rsidR="00787C9F" w:rsidRPr="00253EBA" w:rsidRDefault="00787C9F" w:rsidP="00787C9F">
            <w:pPr>
              <w:rPr>
                <w:rFonts w:cstheme="minorHAnsi"/>
                <w:sz w:val="16"/>
                <w:szCs w:val="16"/>
              </w:rPr>
            </w:pPr>
            <w:r w:rsidRPr="00253EBA">
              <w:rPr>
                <w:rFonts w:eastAsia="Times New Roman" w:cstheme="minorHAnsi"/>
                <w:sz w:val="16"/>
                <w:szCs w:val="16"/>
                <w:lang w:eastAsia="el-GR"/>
              </w:rPr>
              <w:t>Μη </w:t>
            </w:r>
            <w:r w:rsidR="00AC2977" w:rsidRPr="00253EBA">
              <w:rPr>
                <w:rFonts w:eastAsia="Times New Roman" w:cstheme="minorHAnsi"/>
                <w:sz w:val="16"/>
                <w:szCs w:val="16"/>
                <w:lang w:eastAsia="el-GR"/>
              </w:rPr>
              <w:t>εξυπηρετούμενα</w:t>
            </w:r>
            <w:r w:rsidRPr="00253EBA">
              <w:rPr>
                <w:rFonts w:eastAsia="Times New Roman" w:cstheme="minorHAnsi"/>
                <w:sz w:val="16"/>
                <w:szCs w:val="16"/>
                <w:lang w:eastAsia="el-GR"/>
              </w:rPr>
              <w:t> </w:t>
            </w:r>
            <w:r w:rsidR="00AC2977" w:rsidRPr="00253EBA">
              <w:rPr>
                <w:rFonts w:eastAsia="Times New Roman" w:cstheme="minorHAnsi"/>
                <w:sz w:val="16"/>
                <w:szCs w:val="16"/>
                <w:lang w:eastAsia="el-GR"/>
              </w:rPr>
              <w:t>ανοίγματα</w:t>
            </w:r>
            <w:r w:rsidRPr="00253EBA">
              <w:rPr>
                <w:rFonts w:eastAsia="Times New Roman" w:cstheme="minorHAnsi"/>
                <w:sz w:val="16"/>
                <w:szCs w:val="16"/>
                <w:lang w:eastAsia="el-GR"/>
              </w:rPr>
              <w:t> προς (/) </w:t>
            </w:r>
            <w:r w:rsidR="00AC2977" w:rsidRPr="00253EBA">
              <w:rPr>
                <w:rFonts w:eastAsia="Times New Roman" w:cstheme="minorHAnsi"/>
                <w:sz w:val="16"/>
                <w:szCs w:val="16"/>
                <w:lang w:eastAsia="el-GR"/>
              </w:rPr>
              <w:t>Δάνεια</w:t>
            </w:r>
            <w:r w:rsidRPr="00253EBA">
              <w:rPr>
                <w:rFonts w:eastAsia="Times New Roman" w:cstheme="minorHAnsi"/>
                <w:sz w:val="16"/>
                <w:szCs w:val="16"/>
                <w:lang w:eastAsia="el-GR"/>
              </w:rPr>
              <w:t> προ </w:t>
            </w:r>
            <w:r w:rsidR="00AC2977" w:rsidRPr="00253EBA">
              <w:rPr>
                <w:rFonts w:eastAsia="Times New Roman" w:cstheme="minorHAnsi"/>
                <w:sz w:val="16"/>
                <w:szCs w:val="16"/>
                <w:lang w:eastAsia="el-GR"/>
              </w:rPr>
              <w:t>προβλέψεων</w:t>
            </w:r>
            <w:r w:rsidRPr="00253EBA">
              <w:rPr>
                <w:rFonts w:eastAsia="Times New Roman" w:cstheme="minorHAnsi"/>
                <w:sz w:val="16"/>
                <w:szCs w:val="16"/>
                <w:lang w:eastAsia="el-GR"/>
              </w:rPr>
              <w:t>   </w:t>
            </w:r>
          </w:p>
        </w:tc>
      </w:tr>
      <w:tr w:rsidR="00787C9F" w:rsidRPr="00253EBA" w14:paraId="4AE7E420"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4E158CE4" w14:textId="3576E841" w:rsidR="00787C9F" w:rsidRPr="00D60852" w:rsidRDefault="00D60852" w:rsidP="00787C9F">
            <w:pPr>
              <w:jc w:val="center"/>
              <w:rPr>
                <w:rFonts w:cstheme="minorHAnsi"/>
                <w:sz w:val="16"/>
                <w:szCs w:val="16"/>
                <w:lang w:val="en-US"/>
              </w:rPr>
            </w:pPr>
            <w:r>
              <w:rPr>
                <w:rFonts w:cstheme="minorHAnsi"/>
                <w:sz w:val="16"/>
                <w:szCs w:val="16"/>
                <w:lang w:val="en-US"/>
              </w:rPr>
              <w:t>20</w:t>
            </w:r>
          </w:p>
        </w:tc>
        <w:tc>
          <w:tcPr>
            <w:tcW w:w="2398" w:type="dxa"/>
            <w:tcBorders>
              <w:top w:val="nil"/>
              <w:left w:val="nil"/>
              <w:bottom w:val="single" w:sz="6" w:space="0" w:color="3A73AE"/>
              <w:right w:val="single" w:sz="6" w:space="0" w:color="3A73AE"/>
            </w:tcBorders>
            <w:shd w:val="clear" w:color="auto" w:fill="auto"/>
            <w:vAlign w:val="center"/>
          </w:tcPr>
          <w:p w14:paraId="2BCAEE61"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Εξυπηρετούμενα Δάνεια </w:t>
            </w:r>
          </w:p>
        </w:tc>
        <w:tc>
          <w:tcPr>
            <w:tcW w:w="6300" w:type="dxa"/>
            <w:tcBorders>
              <w:top w:val="nil"/>
              <w:left w:val="nil"/>
              <w:bottom w:val="single" w:sz="6" w:space="0" w:color="3A73AE"/>
              <w:right w:val="single" w:sz="6" w:space="0" w:color="3A73AE"/>
            </w:tcBorders>
            <w:shd w:val="clear" w:color="auto" w:fill="auto"/>
            <w:vAlign w:val="center"/>
          </w:tcPr>
          <w:p w14:paraId="2327DA21"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Δάνεια προ προβλέψεων μείον (-) ΜΕΑ </w:t>
            </w:r>
          </w:p>
        </w:tc>
      </w:tr>
      <w:tr w:rsidR="00787C9F" w:rsidRPr="00253EBA" w14:paraId="41DA4536"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hideMark/>
          </w:tcPr>
          <w:p w14:paraId="3D278C0C" w14:textId="3B04D15D"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1</w:t>
            </w:r>
          </w:p>
        </w:tc>
        <w:tc>
          <w:tcPr>
            <w:tcW w:w="2398" w:type="dxa"/>
            <w:tcBorders>
              <w:top w:val="nil"/>
              <w:left w:val="nil"/>
              <w:bottom w:val="single" w:sz="6" w:space="0" w:color="3A73AE"/>
              <w:right w:val="single" w:sz="6" w:space="0" w:color="3A73AE"/>
            </w:tcBorders>
            <w:shd w:val="clear" w:color="auto" w:fill="auto"/>
            <w:vAlign w:val="center"/>
          </w:tcPr>
          <w:p w14:paraId="31347BD5"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Έσοδα (κέρδη) προ προβλέψεων σε επαναλαμβανόμενη βάση </w:t>
            </w:r>
          </w:p>
        </w:tc>
        <w:tc>
          <w:tcPr>
            <w:tcW w:w="6300" w:type="dxa"/>
            <w:tcBorders>
              <w:top w:val="nil"/>
              <w:left w:val="nil"/>
              <w:bottom w:val="single" w:sz="6" w:space="0" w:color="3A73AE"/>
              <w:right w:val="single" w:sz="6" w:space="0" w:color="3A73AE"/>
            </w:tcBorders>
            <w:shd w:val="clear" w:color="auto" w:fill="FFFFFF"/>
            <w:vAlign w:val="center"/>
          </w:tcPr>
          <w:p w14:paraId="457F5B31" w14:textId="2CEEFC2F" w:rsidR="00787C9F" w:rsidRPr="004400C4" w:rsidRDefault="00787C9F" w:rsidP="004400C4">
            <w:pPr>
              <w:rPr>
                <w:rFonts w:cstheme="minorHAnsi"/>
                <w:sz w:val="16"/>
                <w:szCs w:val="16"/>
              </w:rPr>
            </w:pPr>
            <w:r w:rsidRPr="00253EBA">
              <w:rPr>
                <w:rFonts w:eastAsia="Times New Roman" w:cstheme="minorHAnsi"/>
                <w:sz w:val="16"/>
                <w:szCs w:val="16"/>
                <w:lang w:eastAsia="el-GR"/>
              </w:rPr>
              <w:t>Αποτελέσματα προ προβλέψεων,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και φόρου εισοδήματος, εξαιρουμένων των έκτακτων στοιχείων που σχετίζονται με την αντίστοιχη περίοδο, σύμφωνα με το στοιχείο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3</w:t>
            </w:r>
          </w:p>
        </w:tc>
      </w:tr>
      <w:tr w:rsidR="00787C9F" w:rsidRPr="00253EBA" w14:paraId="0E5E21D8"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6D9DFD5C" w14:textId="27E8CCA6"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2</w:t>
            </w:r>
          </w:p>
        </w:tc>
        <w:tc>
          <w:tcPr>
            <w:tcW w:w="2398" w:type="dxa"/>
            <w:tcBorders>
              <w:top w:val="nil"/>
              <w:left w:val="nil"/>
              <w:bottom w:val="single" w:sz="6" w:space="0" w:color="3A73AE"/>
              <w:right w:val="single" w:sz="6" w:space="0" w:color="3A73AE"/>
            </w:tcBorders>
            <w:shd w:val="clear" w:color="auto" w:fill="auto"/>
            <w:vAlign w:val="center"/>
          </w:tcPr>
          <w:p w14:paraId="610D9CF8"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Έσοδα προ προβλέψεων σε συγκρίσιμη βάση </w:t>
            </w:r>
          </w:p>
        </w:tc>
        <w:tc>
          <w:tcPr>
            <w:tcW w:w="6300" w:type="dxa"/>
            <w:tcBorders>
              <w:top w:val="nil"/>
              <w:left w:val="nil"/>
              <w:bottom w:val="single" w:sz="6" w:space="0" w:color="3A73AE"/>
              <w:right w:val="single" w:sz="6" w:space="0" w:color="3A73AE"/>
            </w:tcBorders>
            <w:shd w:val="clear" w:color="auto" w:fill="FFFFFF"/>
            <w:vAlign w:val="center"/>
          </w:tcPr>
          <w:p w14:paraId="624BBB52" w14:textId="60047859" w:rsidR="00787C9F" w:rsidRPr="004400C4" w:rsidRDefault="00787C9F" w:rsidP="004400C4">
            <w:pPr>
              <w:rPr>
                <w:rFonts w:cstheme="minorHAnsi"/>
                <w:sz w:val="16"/>
                <w:szCs w:val="16"/>
              </w:rPr>
            </w:pPr>
            <w:r w:rsidRPr="00253EBA">
              <w:rPr>
                <w:rFonts w:eastAsia="Times New Roman" w:cstheme="minorHAnsi"/>
                <w:sz w:val="16"/>
                <w:szCs w:val="16"/>
                <w:lang w:eastAsia="el-GR"/>
              </w:rPr>
              <w:t>Αποτελέσματα προ προβλέψεων,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και φόρου εισοδήματος, εξαιρουμένης της επίπτωσης του COVID-19 σύμφωνα με το στοιχείο #</w:t>
            </w:r>
            <w:r w:rsidR="00D60852" w:rsidRPr="00D60852">
              <w:rPr>
                <w:rFonts w:eastAsia="Times New Roman" w:cstheme="minorHAnsi"/>
                <w:sz w:val="16"/>
                <w:szCs w:val="16"/>
                <w:lang w:eastAsia="el-GR"/>
              </w:rPr>
              <w:t>34</w:t>
            </w:r>
            <w:r w:rsidRPr="00253EBA">
              <w:rPr>
                <w:rFonts w:eastAsia="Times New Roman" w:cstheme="minorHAnsi"/>
                <w:sz w:val="16"/>
                <w:szCs w:val="16"/>
                <w:lang w:eastAsia="el-GR"/>
              </w:rPr>
              <w:t xml:space="preserve"> και στα λειτουργικά έξοδα της προμήθειες διαχείρισης προς τον διαχειριστή των ΜΕΑ σύμφωνα με το στοιχείο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4</w:t>
            </w:r>
          </w:p>
        </w:tc>
      </w:tr>
      <w:tr w:rsidR="00787C9F" w:rsidRPr="00253EBA" w14:paraId="32CB130C"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4C4501E8" w14:textId="38BD5BC0"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3</w:t>
            </w:r>
          </w:p>
        </w:tc>
        <w:tc>
          <w:tcPr>
            <w:tcW w:w="2398" w:type="dxa"/>
            <w:tcBorders>
              <w:top w:val="nil"/>
              <w:left w:val="nil"/>
              <w:bottom w:val="single" w:sz="6" w:space="0" w:color="3A73AE"/>
              <w:right w:val="single" w:sz="6" w:space="0" w:color="3A73AE"/>
            </w:tcBorders>
            <w:shd w:val="clear" w:color="auto" w:fill="auto"/>
            <w:vAlign w:val="center"/>
          </w:tcPr>
          <w:p w14:paraId="0E670218"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Καθαρό περιθώριο επιτοκίου (NIM) </w:t>
            </w:r>
          </w:p>
        </w:tc>
        <w:tc>
          <w:tcPr>
            <w:tcW w:w="6300" w:type="dxa"/>
            <w:tcBorders>
              <w:top w:val="nil"/>
              <w:left w:val="nil"/>
              <w:bottom w:val="single" w:sz="6" w:space="0" w:color="3A73AE"/>
              <w:right w:val="single" w:sz="6" w:space="0" w:color="3A73AE"/>
            </w:tcBorders>
            <w:shd w:val="clear" w:color="auto" w:fill="FFFFFF"/>
          </w:tcPr>
          <w:p w14:paraId="20C7F9E9"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Καθαρά έσοδα τόκων σε </w:t>
            </w:r>
            <w:proofErr w:type="spellStart"/>
            <w:r w:rsidRPr="00253EBA">
              <w:rPr>
                <w:rFonts w:eastAsia="Times New Roman" w:cstheme="minorHAnsi"/>
                <w:sz w:val="16"/>
                <w:szCs w:val="16"/>
                <w:lang w:eastAsia="el-GR"/>
              </w:rPr>
              <w:t>ετησιοποιημένη</w:t>
            </w:r>
            <w:proofErr w:type="spellEnd"/>
            <w:r w:rsidRPr="00253EBA">
              <w:rPr>
                <w:rFonts w:eastAsia="Times New Roman" w:cstheme="minorHAnsi"/>
                <w:sz w:val="16"/>
                <w:szCs w:val="16"/>
                <w:lang w:eastAsia="el-GR"/>
              </w:rPr>
              <w:t xml:space="preserve"> βάση προς (/) Μέσος όρος  ενεργητικό δύο περιόδων (χρήσης 2020 και 2019) </w:t>
            </w:r>
          </w:p>
        </w:tc>
      </w:tr>
      <w:tr w:rsidR="00787C9F" w:rsidRPr="00253EBA" w14:paraId="218F8CA4" w14:textId="77777777" w:rsidTr="0092615F">
        <w:trPr>
          <w:trHeight w:val="278"/>
        </w:trPr>
        <w:tc>
          <w:tcPr>
            <w:tcW w:w="399" w:type="dxa"/>
            <w:tcBorders>
              <w:top w:val="nil"/>
              <w:left w:val="single" w:sz="6" w:space="0" w:color="3A73AE"/>
              <w:bottom w:val="single" w:sz="6" w:space="0" w:color="3A73AE"/>
              <w:right w:val="single" w:sz="6" w:space="0" w:color="3A73AE"/>
            </w:tcBorders>
            <w:shd w:val="clear" w:color="auto" w:fill="auto"/>
            <w:vAlign w:val="center"/>
          </w:tcPr>
          <w:p w14:paraId="33A67E10" w14:textId="6452A989"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4</w:t>
            </w:r>
          </w:p>
        </w:tc>
        <w:tc>
          <w:tcPr>
            <w:tcW w:w="2398" w:type="dxa"/>
            <w:tcBorders>
              <w:top w:val="nil"/>
              <w:left w:val="nil"/>
              <w:bottom w:val="single" w:sz="6" w:space="0" w:color="3A73AE"/>
              <w:right w:val="single" w:sz="6" w:space="0" w:color="3A73AE"/>
            </w:tcBorders>
            <w:shd w:val="clear" w:color="auto" w:fill="auto"/>
            <w:vAlign w:val="center"/>
          </w:tcPr>
          <w:p w14:paraId="153F0953"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Καθαρά έσοδα </w:t>
            </w:r>
          </w:p>
        </w:tc>
        <w:tc>
          <w:tcPr>
            <w:tcW w:w="6300" w:type="dxa"/>
            <w:tcBorders>
              <w:top w:val="nil"/>
              <w:left w:val="nil"/>
              <w:bottom w:val="single" w:sz="6" w:space="0" w:color="3A73AE"/>
              <w:right w:val="single" w:sz="6" w:space="0" w:color="3A73AE"/>
            </w:tcBorders>
            <w:shd w:val="clear" w:color="auto" w:fill="FFFFFF"/>
            <w:vAlign w:val="center"/>
          </w:tcPr>
          <w:p w14:paraId="2E558301" w14:textId="77777777" w:rsidR="00787C9F" w:rsidRPr="00253EBA" w:rsidRDefault="00787C9F" w:rsidP="00787C9F">
            <w:pPr>
              <w:rPr>
                <w:rFonts w:cstheme="minorHAnsi"/>
                <w:sz w:val="16"/>
                <w:szCs w:val="16"/>
                <w:lang w:val="en-US"/>
              </w:rPr>
            </w:pPr>
            <w:r w:rsidRPr="00253EBA">
              <w:rPr>
                <w:rFonts w:eastAsia="Times New Roman" w:cstheme="minorHAnsi"/>
                <w:sz w:val="16"/>
                <w:szCs w:val="16"/>
                <w:lang w:eastAsia="el-GR"/>
              </w:rPr>
              <w:t>Σύνολο καθαρών εσόδων </w:t>
            </w:r>
          </w:p>
        </w:tc>
      </w:tr>
      <w:tr w:rsidR="00787C9F" w:rsidRPr="00253EBA" w14:paraId="064E0D20"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1B1329CD" w14:textId="7FC8DF2B"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5</w:t>
            </w:r>
          </w:p>
        </w:tc>
        <w:tc>
          <w:tcPr>
            <w:tcW w:w="2398" w:type="dxa"/>
            <w:tcBorders>
              <w:top w:val="nil"/>
              <w:left w:val="nil"/>
              <w:bottom w:val="single" w:sz="6" w:space="0" w:color="3A73AE"/>
              <w:right w:val="single" w:sz="6" w:space="0" w:color="3A73AE"/>
            </w:tcBorders>
            <w:shd w:val="clear" w:color="auto" w:fill="auto"/>
            <w:vAlign w:val="center"/>
          </w:tcPr>
          <w:p w14:paraId="4937561E" w14:textId="2881AE39" w:rsidR="00787C9F" w:rsidRPr="00253EBA" w:rsidRDefault="00306C0E" w:rsidP="00306C0E">
            <w:pPr>
              <w:rPr>
                <w:rFonts w:eastAsia="Times New Roman" w:cstheme="minorHAnsi"/>
                <w:sz w:val="16"/>
                <w:szCs w:val="16"/>
                <w:lang w:eastAsia="el-GR"/>
              </w:rPr>
            </w:pPr>
            <w:r>
              <w:rPr>
                <w:rFonts w:eastAsia="Times New Roman" w:cstheme="minorHAnsi"/>
                <w:sz w:val="16"/>
                <w:szCs w:val="16"/>
                <w:lang w:eastAsia="el-GR"/>
              </w:rPr>
              <w:t xml:space="preserve">Περιθώριο καθαρών εσόδων από προμήθειες ή </w:t>
            </w:r>
            <w:r w:rsidR="00787C9F" w:rsidRPr="00253EBA">
              <w:rPr>
                <w:rFonts w:eastAsia="Times New Roman" w:cstheme="minorHAnsi"/>
                <w:sz w:val="16"/>
                <w:szCs w:val="16"/>
                <w:lang w:eastAsia="el-GR"/>
              </w:rPr>
              <w:t>Καθαρά έσοδα προμηθειών προς ενεργητικό</w:t>
            </w:r>
          </w:p>
        </w:tc>
        <w:tc>
          <w:tcPr>
            <w:tcW w:w="6300" w:type="dxa"/>
            <w:tcBorders>
              <w:top w:val="nil"/>
              <w:left w:val="nil"/>
              <w:bottom w:val="single" w:sz="6" w:space="0" w:color="3A73AE"/>
              <w:right w:val="single" w:sz="6" w:space="0" w:color="3A73AE"/>
            </w:tcBorders>
            <w:shd w:val="clear" w:color="auto" w:fill="FFFFFF"/>
            <w:vAlign w:val="center"/>
          </w:tcPr>
          <w:p w14:paraId="6AEFA306" w14:textId="44686F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 xml:space="preserve">Καθαρά έσοδα προμηθειών </w:t>
            </w:r>
            <w:r w:rsidR="0054468F" w:rsidRPr="00253EBA">
              <w:rPr>
                <w:rFonts w:eastAsia="Times New Roman" w:cstheme="minorHAnsi"/>
                <w:sz w:val="16"/>
                <w:szCs w:val="16"/>
                <w:lang w:eastAsia="el-GR"/>
              </w:rPr>
              <w:t>προς (/) Μέσος όρος  ενεργητικό δύο περιόδων (χρήσης 2020 και 2019)</w:t>
            </w:r>
          </w:p>
        </w:tc>
      </w:tr>
      <w:tr w:rsidR="00787C9F" w:rsidRPr="00253EBA" w14:paraId="29748AC8" w14:textId="77777777" w:rsidTr="0092615F">
        <w:trPr>
          <w:trHeight w:val="260"/>
        </w:trPr>
        <w:tc>
          <w:tcPr>
            <w:tcW w:w="399" w:type="dxa"/>
            <w:tcBorders>
              <w:top w:val="nil"/>
              <w:left w:val="single" w:sz="6" w:space="0" w:color="3A73AE"/>
              <w:bottom w:val="single" w:sz="6" w:space="0" w:color="3A73AE"/>
              <w:right w:val="single" w:sz="6" w:space="0" w:color="3A73AE"/>
            </w:tcBorders>
            <w:shd w:val="clear" w:color="auto" w:fill="auto"/>
            <w:vAlign w:val="center"/>
          </w:tcPr>
          <w:p w14:paraId="7B5A467C" w14:textId="5837C462"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6</w:t>
            </w:r>
          </w:p>
        </w:tc>
        <w:tc>
          <w:tcPr>
            <w:tcW w:w="2398" w:type="dxa"/>
            <w:tcBorders>
              <w:top w:val="nil"/>
              <w:left w:val="nil"/>
              <w:bottom w:val="single" w:sz="6" w:space="0" w:color="3A73AE"/>
              <w:right w:val="single" w:sz="6" w:space="0" w:color="3A73AE"/>
            </w:tcBorders>
            <w:shd w:val="clear" w:color="auto" w:fill="auto"/>
            <w:vAlign w:val="center"/>
          </w:tcPr>
          <w:p w14:paraId="514EF649"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Καθαρό κέρδος  </w:t>
            </w:r>
          </w:p>
        </w:tc>
        <w:tc>
          <w:tcPr>
            <w:tcW w:w="6300" w:type="dxa"/>
            <w:tcBorders>
              <w:top w:val="nil"/>
              <w:left w:val="nil"/>
              <w:bottom w:val="single" w:sz="6" w:space="0" w:color="3A73AE"/>
              <w:right w:val="single" w:sz="6" w:space="0" w:color="3A73AE"/>
            </w:tcBorders>
            <w:shd w:val="clear" w:color="auto" w:fill="FFFFFF"/>
            <w:vAlign w:val="center"/>
          </w:tcPr>
          <w:p w14:paraId="5D4B3672"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Κέρδη/(Ζημίες) από συνεχιζόμενες δραστηριότητες αναλογούντα στους μετόχους της Τράπεζας </w:t>
            </w:r>
          </w:p>
        </w:tc>
      </w:tr>
      <w:tr w:rsidR="00787C9F" w:rsidRPr="00253EBA" w14:paraId="63350496" w14:textId="77777777" w:rsidTr="0092615F">
        <w:trPr>
          <w:trHeight w:val="314"/>
        </w:trPr>
        <w:tc>
          <w:tcPr>
            <w:tcW w:w="399" w:type="dxa"/>
            <w:tcBorders>
              <w:top w:val="nil"/>
              <w:left w:val="single" w:sz="6" w:space="0" w:color="3A73AE"/>
              <w:bottom w:val="single" w:sz="6" w:space="0" w:color="3A73AE"/>
              <w:right w:val="single" w:sz="6" w:space="0" w:color="3A73AE"/>
            </w:tcBorders>
            <w:shd w:val="clear" w:color="auto" w:fill="auto"/>
            <w:vAlign w:val="center"/>
          </w:tcPr>
          <w:p w14:paraId="76FCEC8D" w14:textId="745CE93E"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7</w:t>
            </w:r>
          </w:p>
        </w:tc>
        <w:tc>
          <w:tcPr>
            <w:tcW w:w="2398" w:type="dxa"/>
            <w:tcBorders>
              <w:top w:val="nil"/>
              <w:left w:val="nil"/>
              <w:bottom w:val="single" w:sz="6" w:space="0" w:color="3A73AE"/>
              <w:right w:val="single" w:sz="6" w:space="0" w:color="3A73AE"/>
            </w:tcBorders>
            <w:shd w:val="clear" w:color="auto" w:fill="auto"/>
            <w:vAlign w:val="center"/>
          </w:tcPr>
          <w:p w14:paraId="600BCB84"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Καταθέσεις ή Καταθέσεις Πελατών </w:t>
            </w:r>
          </w:p>
        </w:tc>
        <w:tc>
          <w:tcPr>
            <w:tcW w:w="6300" w:type="dxa"/>
            <w:tcBorders>
              <w:top w:val="nil"/>
              <w:left w:val="nil"/>
              <w:bottom w:val="single" w:sz="6" w:space="0" w:color="3A73AE"/>
              <w:right w:val="single" w:sz="6" w:space="0" w:color="3A73AE"/>
            </w:tcBorders>
            <w:shd w:val="clear" w:color="auto" w:fill="FFFFFF"/>
            <w:vAlign w:val="center"/>
          </w:tcPr>
          <w:p w14:paraId="3F8B6F2E" w14:textId="171299E3" w:rsidR="00787C9F" w:rsidRPr="00253EBA" w:rsidRDefault="00AC2977" w:rsidP="00787C9F">
            <w:pPr>
              <w:rPr>
                <w:rFonts w:cstheme="minorHAnsi"/>
                <w:sz w:val="16"/>
                <w:szCs w:val="16"/>
                <w:lang w:val="en-US"/>
              </w:rPr>
            </w:pPr>
            <w:r w:rsidRPr="00253EBA">
              <w:rPr>
                <w:rFonts w:eastAsia="Times New Roman" w:cstheme="minorHAnsi"/>
                <w:sz w:val="16"/>
                <w:szCs w:val="16"/>
                <w:lang w:eastAsia="el-GR"/>
              </w:rPr>
              <w:t>Υποχρεώσεις</w:t>
            </w:r>
            <w:r w:rsidR="00787C9F" w:rsidRPr="00253EBA">
              <w:rPr>
                <w:rFonts w:eastAsia="Times New Roman" w:cstheme="minorHAnsi"/>
                <w:sz w:val="16"/>
                <w:szCs w:val="16"/>
                <w:lang w:eastAsia="el-GR"/>
              </w:rPr>
              <w:t> προς </w:t>
            </w:r>
            <w:r w:rsidRPr="00253EBA">
              <w:rPr>
                <w:rFonts w:eastAsia="Times New Roman" w:cstheme="minorHAnsi"/>
                <w:sz w:val="16"/>
                <w:szCs w:val="16"/>
                <w:lang w:eastAsia="el-GR"/>
              </w:rPr>
              <w:t>πελάτες</w:t>
            </w:r>
            <w:r w:rsidR="00787C9F" w:rsidRPr="00253EBA">
              <w:rPr>
                <w:rFonts w:eastAsia="Times New Roman" w:cstheme="minorHAnsi"/>
                <w:sz w:val="16"/>
                <w:szCs w:val="16"/>
                <w:lang w:eastAsia="el-GR"/>
              </w:rPr>
              <w:t>  </w:t>
            </w:r>
          </w:p>
        </w:tc>
      </w:tr>
      <w:tr w:rsidR="00787C9F" w:rsidRPr="00253EBA" w14:paraId="2E25D2FA"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03FDD646" w14:textId="56A2E134"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8</w:t>
            </w:r>
          </w:p>
        </w:tc>
        <w:tc>
          <w:tcPr>
            <w:tcW w:w="2398" w:type="dxa"/>
            <w:tcBorders>
              <w:top w:val="nil"/>
              <w:left w:val="nil"/>
              <w:bottom w:val="single" w:sz="6" w:space="0" w:color="3A73AE"/>
              <w:right w:val="single" w:sz="6" w:space="0" w:color="3A73AE"/>
            </w:tcBorders>
            <w:shd w:val="clear" w:color="auto" w:fill="auto"/>
            <w:vAlign w:val="center"/>
          </w:tcPr>
          <w:p w14:paraId="3C11DE7F"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Καταθέσεις Ιδιωτικού Τομέα  </w:t>
            </w:r>
          </w:p>
        </w:tc>
        <w:tc>
          <w:tcPr>
            <w:tcW w:w="6300" w:type="dxa"/>
            <w:tcBorders>
              <w:top w:val="nil"/>
              <w:left w:val="nil"/>
              <w:bottom w:val="single" w:sz="6" w:space="0" w:color="3A73AE"/>
              <w:right w:val="single" w:sz="6" w:space="0" w:color="3A73AE"/>
            </w:tcBorders>
            <w:shd w:val="clear" w:color="auto" w:fill="FFFFFF"/>
            <w:vAlign w:val="center"/>
          </w:tcPr>
          <w:p w14:paraId="14918847"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Καταθέσεις πελατών εξαιρουμένων των καταθέσεων του Ελληνικού Δημοσίου στην Τράπεζα Πειραιώς</w:t>
            </w:r>
          </w:p>
        </w:tc>
      </w:tr>
      <w:tr w:rsidR="00787C9F" w:rsidRPr="00253EBA" w14:paraId="4F777B13" w14:textId="77777777" w:rsidTr="0092615F">
        <w:trPr>
          <w:trHeight w:val="305"/>
        </w:trPr>
        <w:tc>
          <w:tcPr>
            <w:tcW w:w="399" w:type="dxa"/>
            <w:tcBorders>
              <w:top w:val="nil"/>
              <w:left w:val="single" w:sz="6" w:space="0" w:color="3A73AE"/>
              <w:bottom w:val="single" w:sz="6" w:space="0" w:color="3A73AE"/>
              <w:right w:val="single" w:sz="6" w:space="0" w:color="3A73AE"/>
            </w:tcBorders>
            <w:shd w:val="clear" w:color="auto" w:fill="auto"/>
            <w:vAlign w:val="center"/>
          </w:tcPr>
          <w:p w14:paraId="7C1B89B9" w14:textId="15553E59" w:rsidR="00787C9F" w:rsidRPr="00D60852" w:rsidRDefault="00787C9F" w:rsidP="00D60852">
            <w:pPr>
              <w:jc w:val="center"/>
              <w:rPr>
                <w:rFonts w:cstheme="minorHAnsi"/>
                <w:sz w:val="16"/>
                <w:szCs w:val="16"/>
                <w:lang w:val="en-US"/>
              </w:rPr>
            </w:pPr>
            <w:r w:rsidRPr="00253EBA">
              <w:rPr>
                <w:rFonts w:cstheme="minorHAnsi"/>
                <w:sz w:val="16"/>
                <w:szCs w:val="16"/>
              </w:rPr>
              <w:t>2</w:t>
            </w:r>
            <w:r w:rsidR="00D60852">
              <w:rPr>
                <w:rFonts w:cstheme="minorHAnsi"/>
                <w:sz w:val="16"/>
                <w:szCs w:val="16"/>
                <w:lang w:val="en-US"/>
              </w:rPr>
              <w:t>9</w:t>
            </w:r>
          </w:p>
        </w:tc>
        <w:tc>
          <w:tcPr>
            <w:tcW w:w="2398" w:type="dxa"/>
            <w:tcBorders>
              <w:top w:val="nil"/>
              <w:left w:val="nil"/>
              <w:bottom w:val="single" w:sz="6" w:space="0" w:color="3A73AE"/>
              <w:right w:val="single" w:sz="6" w:space="0" w:color="3A73AE"/>
            </w:tcBorders>
            <w:shd w:val="clear" w:color="auto" w:fill="auto"/>
            <w:vAlign w:val="center"/>
          </w:tcPr>
          <w:p w14:paraId="477F744B"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Λειτουργικά Έξοδα (κόστος) </w:t>
            </w:r>
          </w:p>
        </w:tc>
        <w:tc>
          <w:tcPr>
            <w:tcW w:w="6300" w:type="dxa"/>
            <w:tcBorders>
              <w:top w:val="nil"/>
              <w:left w:val="nil"/>
              <w:bottom w:val="single" w:sz="6" w:space="0" w:color="3A73AE"/>
              <w:right w:val="single" w:sz="6" w:space="0" w:color="3A73AE"/>
            </w:tcBorders>
            <w:shd w:val="clear" w:color="auto" w:fill="FFFFFF"/>
            <w:vAlign w:val="center"/>
          </w:tcPr>
          <w:p w14:paraId="7F9D4546"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Σύνολο λειτουργικών εξόδων πριν από τις προβλέψεις  </w:t>
            </w:r>
          </w:p>
        </w:tc>
      </w:tr>
      <w:tr w:rsidR="00787C9F" w:rsidRPr="00253EBA" w14:paraId="352FFC0E" w14:textId="77777777" w:rsidTr="0092615F">
        <w:trPr>
          <w:trHeight w:val="926"/>
        </w:trPr>
        <w:tc>
          <w:tcPr>
            <w:tcW w:w="399" w:type="dxa"/>
            <w:tcBorders>
              <w:top w:val="nil"/>
              <w:left w:val="single" w:sz="6" w:space="0" w:color="3A73AE"/>
              <w:bottom w:val="single" w:sz="6" w:space="0" w:color="3A73AE"/>
              <w:right w:val="single" w:sz="6" w:space="0" w:color="3A73AE"/>
            </w:tcBorders>
            <w:shd w:val="clear" w:color="auto" w:fill="auto"/>
            <w:vAlign w:val="center"/>
          </w:tcPr>
          <w:p w14:paraId="35B9706E" w14:textId="2F57BD3F" w:rsidR="00787C9F" w:rsidRPr="00D60852" w:rsidRDefault="00D60852" w:rsidP="00787C9F">
            <w:pPr>
              <w:jc w:val="center"/>
              <w:rPr>
                <w:rFonts w:cstheme="minorHAnsi"/>
                <w:sz w:val="16"/>
                <w:szCs w:val="16"/>
                <w:lang w:val="en-US"/>
              </w:rPr>
            </w:pPr>
            <w:r>
              <w:rPr>
                <w:rFonts w:cstheme="minorHAnsi"/>
                <w:sz w:val="16"/>
                <w:szCs w:val="16"/>
                <w:lang w:val="en-US"/>
              </w:rPr>
              <w:t>30</w:t>
            </w:r>
          </w:p>
        </w:tc>
        <w:tc>
          <w:tcPr>
            <w:tcW w:w="2398" w:type="dxa"/>
            <w:tcBorders>
              <w:top w:val="nil"/>
              <w:left w:val="nil"/>
              <w:bottom w:val="single" w:sz="6" w:space="0" w:color="3A73AE"/>
              <w:right w:val="single" w:sz="6" w:space="0" w:color="3A73AE"/>
            </w:tcBorders>
            <w:shd w:val="clear" w:color="auto" w:fill="auto"/>
            <w:vAlign w:val="center"/>
          </w:tcPr>
          <w:p w14:paraId="261AEE59"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Λειτουργικά Έξοδα (κόστος) σε συγκρίσιμη βάση </w:t>
            </w:r>
          </w:p>
        </w:tc>
        <w:tc>
          <w:tcPr>
            <w:tcW w:w="6300" w:type="dxa"/>
            <w:tcBorders>
              <w:top w:val="nil"/>
              <w:left w:val="nil"/>
              <w:bottom w:val="single" w:sz="6" w:space="0" w:color="3A73AE"/>
              <w:right w:val="single" w:sz="6" w:space="0" w:color="3A73AE"/>
            </w:tcBorders>
            <w:shd w:val="clear" w:color="auto" w:fill="FFFFFF"/>
            <w:vAlign w:val="center"/>
          </w:tcPr>
          <w:p w14:paraId="7236A39F" w14:textId="3CBF256E" w:rsidR="00787C9F" w:rsidRPr="00253EBA" w:rsidRDefault="00787C9F" w:rsidP="0054468F">
            <w:pPr>
              <w:rPr>
                <w:rFonts w:cstheme="minorHAnsi"/>
                <w:sz w:val="16"/>
                <w:szCs w:val="16"/>
              </w:rPr>
            </w:pPr>
            <w:r w:rsidRPr="00253EBA">
              <w:rPr>
                <w:rFonts w:eastAsia="Times New Roman" w:cstheme="minorHAnsi"/>
                <w:sz w:val="16"/>
                <w:szCs w:val="16"/>
                <w:lang w:eastAsia="el-GR"/>
              </w:rPr>
              <w:t xml:space="preserve">Σύνολο λειτουργικών εξόδων πριν από τις προβλέψεις, εξαιρουμένης της προμήθειας διαχείρισης στον διαχειριστή </w:t>
            </w:r>
            <w:r w:rsidR="0054468F">
              <w:rPr>
                <w:rFonts w:eastAsia="Times New Roman" w:cstheme="minorHAnsi"/>
                <w:sz w:val="16"/>
                <w:szCs w:val="16"/>
                <w:lang w:val="en-US" w:eastAsia="el-GR"/>
              </w:rPr>
              <w:t>NPEs</w:t>
            </w:r>
            <w:r w:rsidRPr="00253EBA">
              <w:rPr>
                <w:rFonts w:eastAsia="Times New Roman" w:cstheme="minorHAnsi"/>
                <w:sz w:val="16"/>
                <w:szCs w:val="16"/>
                <w:lang w:eastAsia="el-GR"/>
              </w:rPr>
              <w:t xml:space="preserve"> ύψους €14 εκατ. το 2019, €</w:t>
            </w:r>
            <w:r w:rsidR="0054468F">
              <w:rPr>
                <w:rFonts w:eastAsia="Times New Roman" w:cstheme="minorHAnsi"/>
                <w:sz w:val="16"/>
                <w:szCs w:val="16"/>
                <w:lang w:eastAsia="el-GR"/>
              </w:rPr>
              <w:t xml:space="preserve">46 εκατ. το </w:t>
            </w:r>
            <w:r w:rsidRPr="00253EBA">
              <w:rPr>
                <w:rFonts w:eastAsia="Times New Roman" w:cstheme="minorHAnsi"/>
                <w:sz w:val="16"/>
                <w:szCs w:val="16"/>
                <w:lang w:eastAsia="el-GR"/>
              </w:rPr>
              <w:t>2020 που καταγράφηκε στα έξοδα διοικητικής λειτουργίας</w:t>
            </w:r>
          </w:p>
        </w:tc>
      </w:tr>
      <w:tr w:rsidR="00787C9F" w:rsidRPr="00253EBA" w14:paraId="3C4F38EC" w14:textId="77777777" w:rsidTr="0092615F">
        <w:trPr>
          <w:trHeight w:val="602"/>
        </w:trPr>
        <w:tc>
          <w:tcPr>
            <w:tcW w:w="399" w:type="dxa"/>
            <w:tcBorders>
              <w:top w:val="nil"/>
              <w:left w:val="single" w:sz="6" w:space="0" w:color="3A73AE"/>
              <w:bottom w:val="single" w:sz="6" w:space="0" w:color="3A73AE"/>
              <w:right w:val="single" w:sz="6" w:space="0" w:color="3A73AE"/>
            </w:tcBorders>
            <w:shd w:val="clear" w:color="auto" w:fill="auto"/>
            <w:vAlign w:val="center"/>
          </w:tcPr>
          <w:p w14:paraId="0CE57124" w14:textId="541FAA33" w:rsidR="00787C9F" w:rsidRPr="00D60852" w:rsidRDefault="00787C9F" w:rsidP="00D60852">
            <w:pPr>
              <w:jc w:val="center"/>
              <w:rPr>
                <w:rFonts w:cstheme="minorHAnsi"/>
                <w:sz w:val="16"/>
                <w:szCs w:val="16"/>
                <w:lang w:val="en-US"/>
              </w:rPr>
            </w:pPr>
            <w:r w:rsidRPr="00253EBA">
              <w:rPr>
                <w:rFonts w:cstheme="minorHAnsi"/>
                <w:sz w:val="16"/>
                <w:szCs w:val="16"/>
              </w:rPr>
              <w:t>3</w:t>
            </w:r>
            <w:r w:rsidR="00D60852">
              <w:rPr>
                <w:rFonts w:cstheme="minorHAnsi"/>
                <w:sz w:val="16"/>
                <w:szCs w:val="16"/>
                <w:lang w:val="en-US"/>
              </w:rPr>
              <w:t>1</w:t>
            </w:r>
          </w:p>
        </w:tc>
        <w:tc>
          <w:tcPr>
            <w:tcW w:w="2398" w:type="dxa"/>
            <w:tcBorders>
              <w:top w:val="nil"/>
              <w:left w:val="nil"/>
              <w:bottom w:val="single" w:sz="6" w:space="0" w:color="3A73AE"/>
              <w:right w:val="single" w:sz="6" w:space="0" w:color="3A73AE"/>
            </w:tcBorders>
            <w:shd w:val="clear" w:color="auto" w:fill="auto"/>
            <w:vAlign w:val="center"/>
          </w:tcPr>
          <w:p w14:paraId="59323390" w14:textId="77777777" w:rsidR="00787C9F" w:rsidRPr="00253EBA" w:rsidRDefault="00787C9F" w:rsidP="00787C9F">
            <w:pPr>
              <w:rPr>
                <w:rFonts w:cstheme="minorHAnsi"/>
                <w:sz w:val="16"/>
                <w:szCs w:val="16"/>
              </w:rPr>
            </w:pPr>
            <w:r w:rsidRPr="00253EBA">
              <w:rPr>
                <w:rFonts w:eastAsia="Times New Roman" w:cstheme="minorHAnsi"/>
                <w:sz w:val="16"/>
                <w:szCs w:val="16"/>
                <w:lang w:eastAsia="el-GR"/>
              </w:rPr>
              <w:t>Λειτουργικά Έξοδα (Επαναλαμβανόμενα) </w:t>
            </w:r>
          </w:p>
        </w:tc>
        <w:tc>
          <w:tcPr>
            <w:tcW w:w="6300" w:type="dxa"/>
            <w:tcBorders>
              <w:top w:val="nil"/>
              <w:left w:val="nil"/>
              <w:bottom w:val="single" w:sz="6" w:space="0" w:color="3A73AE"/>
              <w:right w:val="single" w:sz="6" w:space="0" w:color="3A73AE"/>
            </w:tcBorders>
            <w:shd w:val="clear" w:color="auto" w:fill="FFFFFF"/>
            <w:vAlign w:val="center"/>
          </w:tcPr>
          <w:p w14:paraId="75F11212" w14:textId="58F5CAD9" w:rsidR="00787C9F" w:rsidRPr="004400C4" w:rsidRDefault="00787C9F" w:rsidP="004400C4">
            <w:pPr>
              <w:rPr>
                <w:rFonts w:cstheme="minorHAnsi"/>
                <w:sz w:val="16"/>
                <w:szCs w:val="16"/>
              </w:rPr>
            </w:pPr>
            <w:r w:rsidRPr="00253EBA">
              <w:rPr>
                <w:rFonts w:eastAsia="Times New Roman" w:cstheme="minorHAnsi"/>
                <w:sz w:val="16"/>
                <w:szCs w:val="16"/>
                <w:lang w:eastAsia="el-GR"/>
              </w:rPr>
              <w:t>Λειτουργικά έξοδα εξαιρουμένων των εφάπαξ στοιχείων σύμφωνα με το στοιχείο #</w:t>
            </w:r>
            <w:r w:rsidR="00D60852" w:rsidRPr="00D60852">
              <w:rPr>
                <w:rFonts w:eastAsia="Times New Roman" w:cstheme="minorHAnsi"/>
                <w:sz w:val="16"/>
                <w:szCs w:val="16"/>
                <w:lang w:eastAsia="el-GR"/>
              </w:rPr>
              <w:t>3</w:t>
            </w:r>
            <w:r w:rsidR="004400C4" w:rsidRPr="004400C4">
              <w:rPr>
                <w:rFonts w:eastAsia="Times New Roman" w:cstheme="minorHAnsi"/>
                <w:sz w:val="16"/>
                <w:szCs w:val="16"/>
                <w:lang w:eastAsia="el-GR"/>
              </w:rPr>
              <w:t>3</w:t>
            </w:r>
          </w:p>
        </w:tc>
      </w:tr>
      <w:tr w:rsidR="00787C9F" w:rsidRPr="00253EBA" w14:paraId="332A6FFF" w14:textId="77777777" w:rsidTr="0092615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46477D4A" w14:textId="04365AD3" w:rsidR="00787C9F" w:rsidRPr="00D60852" w:rsidRDefault="00787C9F" w:rsidP="00D60852">
            <w:pPr>
              <w:jc w:val="center"/>
              <w:rPr>
                <w:rFonts w:cstheme="minorHAnsi"/>
                <w:sz w:val="16"/>
                <w:szCs w:val="16"/>
                <w:lang w:val="en-US"/>
              </w:rPr>
            </w:pPr>
            <w:r w:rsidRPr="00253EBA">
              <w:rPr>
                <w:rFonts w:cstheme="minorHAnsi"/>
                <w:sz w:val="16"/>
                <w:szCs w:val="16"/>
              </w:rPr>
              <w:t>3</w:t>
            </w:r>
            <w:r w:rsidR="00D60852">
              <w:rPr>
                <w:rFonts w:cstheme="minorHAnsi"/>
                <w:sz w:val="16"/>
                <w:szCs w:val="16"/>
                <w:lang w:val="en-US"/>
              </w:rPr>
              <w:t>2</w:t>
            </w:r>
          </w:p>
        </w:tc>
        <w:tc>
          <w:tcPr>
            <w:tcW w:w="2398" w:type="dxa"/>
            <w:tcBorders>
              <w:top w:val="nil"/>
              <w:left w:val="nil"/>
              <w:bottom w:val="single" w:sz="6" w:space="0" w:color="3A73AE"/>
              <w:right w:val="single" w:sz="6" w:space="0" w:color="3A73AE"/>
            </w:tcBorders>
            <w:shd w:val="clear" w:color="auto" w:fill="auto"/>
            <w:vAlign w:val="center"/>
          </w:tcPr>
          <w:p w14:paraId="3F9E6BA1" w14:textId="6DFC3979" w:rsidR="00787C9F" w:rsidRPr="00253EBA" w:rsidRDefault="00787C9F" w:rsidP="0054468F">
            <w:pPr>
              <w:rPr>
                <w:rFonts w:eastAsia="Times New Roman" w:cstheme="minorHAnsi"/>
                <w:sz w:val="16"/>
                <w:szCs w:val="16"/>
                <w:lang w:eastAsia="el-GR"/>
              </w:rPr>
            </w:pPr>
            <w:r w:rsidRPr="00253EBA">
              <w:rPr>
                <w:rFonts w:eastAsia="Times New Roman" w:cstheme="minorHAnsi"/>
                <w:sz w:val="16"/>
                <w:szCs w:val="16"/>
                <w:lang w:eastAsia="el-GR"/>
              </w:rPr>
              <w:t>Μη Εξυπηρετούμενα Ανοίγματα (NPE) </w:t>
            </w:r>
          </w:p>
        </w:tc>
        <w:tc>
          <w:tcPr>
            <w:tcW w:w="6300" w:type="dxa"/>
            <w:tcBorders>
              <w:top w:val="nil"/>
              <w:left w:val="nil"/>
              <w:bottom w:val="single" w:sz="6" w:space="0" w:color="3A73AE"/>
              <w:right w:val="single" w:sz="6" w:space="0" w:color="3A73AE"/>
            </w:tcBorders>
            <w:shd w:val="clear" w:color="auto" w:fill="FFFFFF"/>
            <w:vAlign w:val="center"/>
          </w:tcPr>
          <w:p w14:paraId="3B93E0F8"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Πιστοδοτικά ανοίγματα εντός ισολογισμού προ προβλέψεων, τα οποία: (α) έχουν καθυστέρηση άνω των 90 ημερών (β) έχουν υποστεί </w:t>
            </w:r>
            <w:proofErr w:type="spellStart"/>
            <w:r w:rsidRPr="00253EBA">
              <w:rPr>
                <w:rFonts w:eastAsia="Times New Roman" w:cstheme="minorHAnsi"/>
                <w:sz w:val="16"/>
                <w:szCs w:val="16"/>
                <w:lang w:eastAsia="el-GR"/>
              </w:rPr>
              <w:t>απομείωση</w:t>
            </w:r>
            <w:proofErr w:type="spellEnd"/>
            <w:r w:rsidRPr="00253EBA">
              <w:rPr>
                <w:rFonts w:eastAsia="Times New Roman" w:cstheme="minorHAnsi"/>
                <w:sz w:val="16"/>
                <w:szCs w:val="16"/>
                <w:lang w:eastAsia="el-GR"/>
              </w:rPr>
              <w:t xml:space="preserve"> ή ο οφειλέτης κρίνεται </w:t>
            </w:r>
            <w:r w:rsidRPr="00253EBA">
              <w:rPr>
                <w:rFonts w:eastAsia="Times New Roman" w:cstheme="minorHAnsi"/>
                <w:sz w:val="16"/>
                <w:szCs w:val="16"/>
                <w:lang w:eastAsia="el-GR"/>
              </w:rPr>
              <w:lastRenderedPageBreak/>
              <w:t>απίθανο να αποπληρώσει τις υποχρεώσεις (UTP) του πλήρως χωρίς τη ρευστοποίηση καλυμμάτων, ανεξάρτητα από την ύπαρξη ποσού σε καθυστέρηση ή του αριθμού των ημερών καθυστέρησης (γ) έχουν υποστεί ρύθμιση και δεν έχει εκπνεύσει η περίοδος παρακολούθησης κατά τις προδιαγραφές της Ευρωπαϊκής Τραπεζικής Αρχής (δ) έχουν επιμόλυνση από τα (α) ποσά, κατά τις προδιαγραφές της Ευρωπαϊκής Τραπεζικής Αρχής ή UTP.</w:t>
            </w:r>
          </w:p>
        </w:tc>
      </w:tr>
      <w:tr w:rsidR="0054468F" w:rsidRPr="00253EBA" w14:paraId="3A12C60B" w14:textId="77777777" w:rsidTr="0054468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6B9443CD" w14:textId="1C25449E" w:rsidR="0054468F" w:rsidRPr="00D60852" w:rsidRDefault="00D60852" w:rsidP="00D60852">
            <w:pPr>
              <w:jc w:val="center"/>
              <w:rPr>
                <w:rFonts w:cstheme="minorHAnsi"/>
                <w:sz w:val="16"/>
                <w:szCs w:val="16"/>
                <w:lang w:val="en-US"/>
              </w:rPr>
            </w:pPr>
            <w:r>
              <w:rPr>
                <w:rFonts w:cstheme="minorHAnsi"/>
                <w:sz w:val="16"/>
                <w:szCs w:val="16"/>
                <w:lang w:val="en-US"/>
              </w:rPr>
              <w:lastRenderedPageBreak/>
              <w:t>33</w:t>
            </w:r>
          </w:p>
        </w:tc>
        <w:tc>
          <w:tcPr>
            <w:tcW w:w="2398" w:type="dxa"/>
            <w:tcBorders>
              <w:top w:val="nil"/>
              <w:left w:val="nil"/>
              <w:bottom w:val="single" w:sz="6" w:space="0" w:color="3A73AE"/>
              <w:right w:val="single" w:sz="6" w:space="0" w:color="3A73AE"/>
            </w:tcBorders>
            <w:shd w:val="clear" w:color="auto" w:fill="auto"/>
            <w:vAlign w:val="center"/>
          </w:tcPr>
          <w:p w14:paraId="31FA0BEE" w14:textId="77777777" w:rsidR="0054468F" w:rsidRPr="00253EBA" w:rsidRDefault="0054468F" w:rsidP="004E19C1">
            <w:pPr>
              <w:rPr>
                <w:rFonts w:eastAsia="Times New Roman" w:cstheme="minorHAnsi"/>
                <w:sz w:val="16"/>
                <w:szCs w:val="16"/>
                <w:lang w:eastAsia="el-GR"/>
              </w:rPr>
            </w:pPr>
            <w:r w:rsidRPr="00253EBA">
              <w:rPr>
                <w:rFonts w:eastAsia="Times New Roman" w:cstheme="minorHAnsi"/>
                <w:sz w:val="16"/>
                <w:szCs w:val="16"/>
                <w:lang w:eastAsia="el-GR"/>
              </w:rPr>
              <w:t xml:space="preserve">Μη επαναλαμβανόμενα  </w:t>
            </w:r>
            <w:r>
              <w:rPr>
                <w:rFonts w:eastAsia="Times New Roman" w:cstheme="minorHAnsi"/>
                <w:sz w:val="16"/>
                <w:szCs w:val="16"/>
                <w:lang w:eastAsia="el-GR"/>
              </w:rPr>
              <w:t>(εφάπαξ) στοιχεία αποτελεσμάτων</w:t>
            </w:r>
          </w:p>
        </w:tc>
        <w:tc>
          <w:tcPr>
            <w:tcW w:w="6300" w:type="dxa"/>
            <w:tcBorders>
              <w:top w:val="nil"/>
              <w:left w:val="nil"/>
              <w:bottom w:val="single" w:sz="6" w:space="0" w:color="3A73AE"/>
              <w:right w:val="single" w:sz="6" w:space="0" w:color="3A73AE"/>
            </w:tcBorders>
            <w:shd w:val="clear" w:color="auto" w:fill="FFFFFF"/>
            <w:vAlign w:val="center"/>
          </w:tcPr>
          <w:p w14:paraId="60A8780F" w14:textId="77E2D3CD" w:rsidR="0054468F" w:rsidRPr="00253EBA" w:rsidRDefault="0054468F" w:rsidP="004E19C1">
            <w:pPr>
              <w:rPr>
                <w:rFonts w:eastAsia="Times New Roman" w:cstheme="minorHAnsi"/>
                <w:sz w:val="16"/>
                <w:szCs w:val="16"/>
                <w:lang w:eastAsia="el-GR"/>
              </w:rPr>
            </w:pPr>
            <w:r w:rsidRPr="00253EBA">
              <w:rPr>
                <w:rFonts w:eastAsia="Times New Roman" w:cstheme="minorHAnsi"/>
                <w:sz w:val="16"/>
                <w:szCs w:val="16"/>
                <w:lang w:eastAsia="el-GR"/>
              </w:rPr>
              <w:t xml:space="preserve">Τα μη επαναλαμβανόμενα στοιχεία για το 2019 περιλαμβάνουν €351 εκατ. από την πώληση της πλατφόρμας </w:t>
            </w:r>
            <w:proofErr w:type="spellStart"/>
            <w:r w:rsidRPr="0054468F">
              <w:rPr>
                <w:rFonts w:eastAsia="Times New Roman" w:cstheme="minorHAnsi"/>
                <w:sz w:val="16"/>
                <w:szCs w:val="16"/>
                <w:lang w:eastAsia="el-GR"/>
              </w:rPr>
              <w:t>NPEs</w:t>
            </w:r>
            <w:proofErr w:type="spellEnd"/>
            <w:r w:rsidRPr="00253EBA">
              <w:rPr>
                <w:rFonts w:eastAsia="Times New Roman" w:cstheme="minorHAnsi"/>
                <w:sz w:val="16"/>
                <w:szCs w:val="16"/>
                <w:lang w:eastAsia="el-GR"/>
              </w:rPr>
              <w:t xml:space="preserve"> (συμπεριλαμβάνεται στα χρηματοοικονομικά έσοδα)  και €36 εκατ. δαπάνες προγράμματος αποχώρησης προσωπικού (VES). Για το 2020 περιλαμβάνουν €147εκατ. δαπάνες VES και €695 εκατ.  έξοδο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xml:space="preserve"> συμπεριλαμβανομένης της επίπτωσης λόγω </w:t>
            </w:r>
            <w:r w:rsidRPr="0054468F">
              <w:rPr>
                <w:rFonts w:eastAsia="Times New Roman" w:cstheme="minorHAnsi"/>
                <w:sz w:val="16"/>
                <w:szCs w:val="16"/>
                <w:lang w:eastAsia="el-GR"/>
              </w:rPr>
              <w:t>Covid</w:t>
            </w:r>
            <w:r w:rsidRPr="00253EBA">
              <w:rPr>
                <w:rFonts w:eastAsia="Times New Roman" w:cstheme="minorHAnsi"/>
                <w:sz w:val="16"/>
                <w:szCs w:val="16"/>
                <w:lang w:eastAsia="el-GR"/>
              </w:rPr>
              <w:t xml:space="preserve">-19 και </w:t>
            </w:r>
            <w:proofErr w:type="spellStart"/>
            <w:r w:rsidRPr="00253EBA">
              <w:rPr>
                <w:rFonts w:eastAsia="Times New Roman" w:cstheme="minorHAnsi"/>
                <w:sz w:val="16"/>
                <w:szCs w:val="16"/>
                <w:lang w:eastAsia="el-GR"/>
              </w:rPr>
              <w:t>και</w:t>
            </w:r>
            <w:proofErr w:type="spellEnd"/>
            <w:r w:rsidRPr="00253EBA">
              <w:rPr>
                <w:rFonts w:eastAsia="Times New Roman" w:cstheme="minorHAnsi"/>
                <w:sz w:val="16"/>
                <w:szCs w:val="16"/>
                <w:lang w:eastAsia="el-GR"/>
              </w:rPr>
              <w:t xml:space="preserve"> άλλων </w:t>
            </w:r>
            <w:proofErr w:type="spellStart"/>
            <w:r w:rsidRPr="00253EBA">
              <w:rPr>
                <w:rFonts w:eastAsia="Times New Roman" w:cstheme="minorHAnsi"/>
                <w:sz w:val="16"/>
                <w:szCs w:val="16"/>
                <w:lang w:eastAsia="el-GR"/>
              </w:rPr>
              <w:t>απομειώσεων</w:t>
            </w:r>
            <w:proofErr w:type="spellEnd"/>
            <w:r w:rsidRPr="00253EBA">
              <w:rPr>
                <w:rFonts w:eastAsia="Times New Roman" w:cstheme="minorHAnsi"/>
                <w:sz w:val="16"/>
                <w:szCs w:val="16"/>
                <w:lang w:eastAsia="el-GR"/>
              </w:rPr>
              <w:t xml:space="preserve"> σχετιζόμενων με το νέο σχέδιο μείωσης αποθέματος </w:t>
            </w:r>
            <w:proofErr w:type="spellStart"/>
            <w:r w:rsidRPr="0054468F">
              <w:rPr>
                <w:rFonts w:eastAsia="Times New Roman" w:cstheme="minorHAnsi"/>
                <w:sz w:val="16"/>
                <w:szCs w:val="16"/>
                <w:lang w:eastAsia="el-GR"/>
              </w:rPr>
              <w:t>NPEs</w:t>
            </w:r>
            <w:proofErr w:type="spellEnd"/>
          </w:p>
        </w:tc>
      </w:tr>
      <w:tr w:rsidR="0054468F" w:rsidRPr="00253EBA" w14:paraId="793A9B10" w14:textId="77777777" w:rsidTr="0054468F">
        <w:trPr>
          <w:trHeight w:val="375"/>
        </w:trPr>
        <w:tc>
          <w:tcPr>
            <w:tcW w:w="399" w:type="dxa"/>
            <w:tcBorders>
              <w:top w:val="nil"/>
              <w:left w:val="single" w:sz="6" w:space="0" w:color="3A73AE"/>
              <w:bottom w:val="single" w:sz="6" w:space="0" w:color="3A73AE"/>
              <w:right w:val="single" w:sz="6" w:space="0" w:color="3A73AE"/>
            </w:tcBorders>
            <w:shd w:val="clear" w:color="auto" w:fill="auto"/>
            <w:vAlign w:val="center"/>
          </w:tcPr>
          <w:p w14:paraId="7D4471BA" w14:textId="6801BFB8" w:rsidR="0054468F" w:rsidRPr="00D60852" w:rsidRDefault="00D60852" w:rsidP="00D60852">
            <w:pPr>
              <w:jc w:val="center"/>
              <w:rPr>
                <w:rFonts w:cstheme="minorHAnsi"/>
                <w:sz w:val="16"/>
                <w:szCs w:val="16"/>
                <w:lang w:val="en-US"/>
              </w:rPr>
            </w:pPr>
            <w:r>
              <w:rPr>
                <w:rFonts w:cstheme="minorHAnsi"/>
                <w:sz w:val="16"/>
                <w:szCs w:val="16"/>
                <w:lang w:val="en-US"/>
              </w:rPr>
              <w:t>34</w:t>
            </w:r>
          </w:p>
        </w:tc>
        <w:tc>
          <w:tcPr>
            <w:tcW w:w="2398" w:type="dxa"/>
            <w:tcBorders>
              <w:top w:val="nil"/>
              <w:left w:val="nil"/>
              <w:bottom w:val="single" w:sz="6" w:space="0" w:color="3A73AE"/>
              <w:right w:val="single" w:sz="6" w:space="0" w:color="3A73AE"/>
            </w:tcBorders>
            <w:shd w:val="clear" w:color="auto" w:fill="auto"/>
            <w:vAlign w:val="center"/>
          </w:tcPr>
          <w:p w14:paraId="45CBF5B0" w14:textId="77777777" w:rsidR="0054468F" w:rsidRPr="00253EBA" w:rsidRDefault="0054468F" w:rsidP="004E19C1">
            <w:pPr>
              <w:rPr>
                <w:rFonts w:eastAsia="Times New Roman" w:cstheme="minorHAnsi"/>
                <w:sz w:val="16"/>
                <w:szCs w:val="16"/>
                <w:lang w:eastAsia="el-GR"/>
              </w:rPr>
            </w:pPr>
            <w:r w:rsidRPr="00253EBA">
              <w:rPr>
                <w:rFonts w:eastAsia="Times New Roman" w:cstheme="minorHAnsi"/>
                <w:sz w:val="16"/>
                <w:szCs w:val="16"/>
                <w:lang w:eastAsia="el-GR"/>
              </w:rPr>
              <w:t>Στοιχεία σε συγκρίσιμη βάση</w:t>
            </w:r>
          </w:p>
        </w:tc>
        <w:tc>
          <w:tcPr>
            <w:tcW w:w="6300" w:type="dxa"/>
            <w:tcBorders>
              <w:top w:val="nil"/>
              <w:left w:val="nil"/>
              <w:bottom w:val="single" w:sz="6" w:space="0" w:color="3A73AE"/>
              <w:right w:val="single" w:sz="6" w:space="0" w:color="3A73AE"/>
            </w:tcBorders>
            <w:shd w:val="clear" w:color="auto" w:fill="FFFFFF"/>
            <w:vAlign w:val="center"/>
          </w:tcPr>
          <w:p w14:paraId="3C9D4A5D" w14:textId="77777777" w:rsidR="0054468F" w:rsidRPr="00253EBA" w:rsidRDefault="0054468F" w:rsidP="004E19C1">
            <w:pPr>
              <w:rPr>
                <w:rFonts w:eastAsia="Times New Roman" w:cstheme="minorHAnsi"/>
                <w:sz w:val="16"/>
                <w:szCs w:val="16"/>
                <w:lang w:eastAsia="el-GR"/>
              </w:rPr>
            </w:pPr>
            <w:r w:rsidRPr="00253EBA">
              <w:rPr>
                <w:rFonts w:eastAsia="Times New Roman" w:cstheme="minorHAnsi"/>
                <w:sz w:val="16"/>
                <w:szCs w:val="16"/>
                <w:lang w:eastAsia="el-GR"/>
              </w:rPr>
              <w:t xml:space="preserve">Η </w:t>
            </w:r>
            <w:r>
              <w:rPr>
                <w:rFonts w:eastAsia="Times New Roman" w:cstheme="minorHAnsi"/>
                <w:sz w:val="16"/>
                <w:szCs w:val="16"/>
                <w:lang w:eastAsia="el-GR"/>
              </w:rPr>
              <w:t xml:space="preserve">απεικόνιση σε </w:t>
            </w:r>
            <w:r w:rsidRPr="00253EBA">
              <w:rPr>
                <w:rFonts w:eastAsia="Times New Roman" w:cstheme="minorHAnsi"/>
                <w:sz w:val="16"/>
                <w:szCs w:val="16"/>
                <w:lang w:eastAsia="el-GR"/>
              </w:rPr>
              <w:t xml:space="preserve">συγκρίσιμη βάση εξαιρεί την προμήθεια προς </w:t>
            </w:r>
            <w:proofErr w:type="spellStart"/>
            <w:r w:rsidRPr="00253EBA">
              <w:rPr>
                <w:rFonts w:eastAsia="Times New Roman" w:cstheme="minorHAnsi"/>
                <w:sz w:val="16"/>
                <w:szCs w:val="16"/>
                <w:lang w:eastAsia="el-GR"/>
              </w:rPr>
              <w:t>τoν</w:t>
            </w:r>
            <w:proofErr w:type="spellEnd"/>
            <w:r w:rsidRPr="00253EBA">
              <w:rPr>
                <w:rFonts w:eastAsia="Times New Roman" w:cstheme="minorHAnsi"/>
                <w:sz w:val="16"/>
                <w:szCs w:val="16"/>
                <w:lang w:eastAsia="el-GR"/>
              </w:rPr>
              <w:t xml:space="preserve"> διαχειριστή </w:t>
            </w:r>
            <w:proofErr w:type="spellStart"/>
            <w:r w:rsidRPr="0054468F">
              <w:rPr>
                <w:rFonts w:eastAsia="Times New Roman" w:cstheme="minorHAnsi"/>
                <w:sz w:val="16"/>
                <w:szCs w:val="16"/>
                <w:lang w:eastAsia="el-GR"/>
              </w:rPr>
              <w:t>NPEs</w:t>
            </w:r>
            <w:proofErr w:type="spellEnd"/>
            <w:r w:rsidRPr="00253EBA">
              <w:rPr>
                <w:rFonts w:eastAsia="Times New Roman" w:cstheme="minorHAnsi"/>
                <w:sz w:val="16"/>
                <w:szCs w:val="16"/>
                <w:lang w:eastAsia="el-GR"/>
              </w:rPr>
              <w:t xml:space="preserve"> η οποία περιλαμβάνεται στα διοικητικά έξοδα. Το 2019 για </w:t>
            </w:r>
            <w:r w:rsidRPr="0054468F">
              <w:rPr>
                <w:rFonts w:eastAsia="Times New Roman" w:cstheme="minorHAnsi"/>
                <w:sz w:val="16"/>
                <w:szCs w:val="16"/>
                <w:lang w:eastAsia="el-GR"/>
              </w:rPr>
              <w:t xml:space="preserve"> 3,5 μήνες (€14 εκατ.), και σε πλήρη εφαρμογή της το 2020 (€46 εκατ.)</w:t>
            </w:r>
          </w:p>
        </w:tc>
      </w:tr>
      <w:tr w:rsidR="00787C9F" w:rsidRPr="00253EBA" w14:paraId="7CB23FF7" w14:textId="77777777" w:rsidTr="0092615F">
        <w:trPr>
          <w:trHeight w:val="260"/>
        </w:trPr>
        <w:tc>
          <w:tcPr>
            <w:tcW w:w="399" w:type="dxa"/>
            <w:tcBorders>
              <w:top w:val="nil"/>
              <w:left w:val="single" w:sz="6" w:space="0" w:color="3A73AE"/>
              <w:bottom w:val="single" w:sz="6" w:space="0" w:color="3A73AE"/>
              <w:right w:val="single" w:sz="6" w:space="0" w:color="3A73AE"/>
            </w:tcBorders>
            <w:shd w:val="clear" w:color="auto" w:fill="auto"/>
            <w:vAlign w:val="center"/>
          </w:tcPr>
          <w:p w14:paraId="7E1764AC" w14:textId="3A079E09" w:rsidR="00787C9F" w:rsidRPr="00D60852" w:rsidRDefault="00D60852" w:rsidP="00D60852">
            <w:pPr>
              <w:jc w:val="center"/>
              <w:rPr>
                <w:rFonts w:cstheme="minorHAnsi"/>
                <w:sz w:val="16"/>
                <w:szCs w:val="16"/>
                <w:lang w:val="en-US"/>
              </w:rPr>
            </w:pPr>
            <w:r>
              <w:rPr>
                <w:rFonts w:cstheme="minorHAnsi"/>
                <w:sz w:val="16"/>
                <w:szCs w:val="16"/>
                <w:lang w:val="en-US"/>
              </w:rPr>
              <w:t>35</w:t>
            </w:r>
          </w:p>
        </w:tc>
        <w:tc>
          <w:tcPr>
            <w:tcW w:w="2398" w:type="dxa"/>
            <w:tcBorders>
              <w:top w:val="nil"/>
              <w:left w:val="nil"/>
              <w:bottom w:val="single" w:sz="6" w:space="0" w:color="3A73AE"/>
              <w:right w:val="single" w:sz="6" w:space="0" w:color="3A73AE"/>
            </w:tcBorders>
            <w:shd w:val="clear" w:color="auto" w:fill="auto"/>
          </w:tcPr>
          <w:p w14:paraId="627E0EEC"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Σωρευμένες Προβλέψεις </w:t>
            </w:r>
          </w:p>
        </w:tc>
        <w:tc>
          <w:tcPr>
            <w:tcW w:w="6300" w:type="dxa"/>
            <w:tcBorders>
              <w:top w:val="nil"/>
              <w:left w:val="nil"/>
              <w:bottom w:val="single" w:sz="6" w:space="0" w:color="3A73AE"/>
              <w:right w:val="single" w:sz="6" w:space="0" w:color="3A73AE"/>
            </w:tcBorders>
            <w:shd w:val="clear" w:color="auto" w:fill="FFFFFF"/>
          </w:tcPr>
          <w:p w14:paraId="190F5811" w14:textId="77777777" w:rsidR="00787C9F" w:rsidRPr="00253EBA" w:rsidRDefault="00787C9F" w:rsidP="00787C9F">
            <w:pPr>
              <w:rPr>
                <w:rFonts w:eastAsia="Times New Roman" w:cstheme="minorHAnsi"/>
                <w:sz w:val="16"/>
                <w:szCs w:val="16"/>
                <w:lang w:eastAsia="el-GR"/>
              </w:rPr>
            </w:pPr>
            <w:r w:rsidRPr="00253EBA">
              <w:rPr>
                <w:rFonts w:eastAsia="Times New Roman" w:cstheme="minorHAnsi"/>
                <w:sz w:val="16"/>
                <w:szCs w:val="16"/>
                <w:lang w:eastAsia="el-GR"/>
              </w:rPr>
              <w:t>Αναμενόμενες πιστωτικές ζημίες</w:t>
            </w:r>
          </w:p>
        </w:tc>
      </w:tr>
    </w:tbl>
    <w:p w14:paraId="5D4CE4FC" w14:textId="77777777" w:rsidR="00E5750E" w:rsidRDefault="00E5750E">
      <w:pPr>
        <w:rPr>
          <w:rFonts w:ascii="Calibri" w:eastAsia="Calibri" w:hAnsi="Calibri"/>
          <w:color w:val="FF0000"/>
          <w:kern w:val="24"/>
          <w:sz w:val="15"/>
          <w:szCs w:val="15"/>
          <w:lang w:val="en-US"/>
        </w:rPr>
      </w:pPr>
    </w:p>
    <w:p w14:paraId="69F973EE" w14:textId="77777777" w:rsidR="00B6575E" w:rsidRDefault="00B6575E">
      <w:pPr>
        <w:rPr>
          <w:rFonts w:ascii="Calibri" w:eastAsia="Calibri" w:hAnsi="Calibri"/>
          <w:color w:val="FF0000"/>
          <w:kern w:val="24"/>
          <w:sz w:val="15"/>
          <w:szCs w:val="15"/>
          <w:lang w:val="en-US"/>
        </w:rPr>
      </w:pPr>
    </w:p>
    <w:p w14:paraId="21E1703E" w14:textId="77777777" w:rsidR="00B6575E" w:rsidRDefault="00B6575E">
      <w:pPr>
        <w:rPr>
          <w:rFonts w:ascii="Calibri" w:eastAsia="Calibri" w:hAnsi="Calibri"/>
          <w:color w:val="FF0000"/>
          <w:kern w:val="24"/>
          <w:sz w:val="15"/>
          <w:szCs w:val="15"/>
          <w:lang w:val="en-US"/>
        </w:rPr>
      </w:pPr>
    </w:p>
    <w:p w14:paraId="609BBAE3" w14:textId="77777777" w:rsidR="000455E0" w:rsidRDefault="000455E0" w:rsidP="00EE54EF">
      <w:pPr>
        <w:spacing w:line="300" w:lineRule="exact"/>
        <w:ind w:left="-142"/>
        <w:jc w:val="both"/>
        <w:rPr>
          <w:rFonts w:ascii="Calibri" w:eastAsia="Calibri" w:hAnsi="Calibri"/>
          <w:kern w:val="24"/>
          <w:sz w:val="15"/>
          <w:szCs w:val="15"/>
        </w:rPr>
      </w:pPr>
    </w:p>
    <w:p w14:paraId="515D716D" w14:textId="77777777" w:rsidR="000455E0" w:rsidRPr="00596EF6" w:rsidRDefault="00596EF6" w:rsidP="00596EF6">
      <w:pPr>
        <w:spacing w:after="0" w:line="280" w:lineRule="exact"/>
        <w:ind w:left="-142"/>
        <w:jc w:val="both"/>
        <w:rPr>
          <w:rFonts w:ascii="Calibri" w:eastAsia="Calibri" w:hAnsi="Calibri"/>
          <w:b/>
          <w:i/>
          <w:kern w:val="24"/>
          <w:sz w:val="20"/>
          <w:szCs w:val="20"/>
          <w:u w:val="single"/>
        </w:rPr>
      </w:pPr>
      <w:r w:rsidRPr="00596EF6">
        <w:rPr>
          <w:rFonts w:ascii="Calibri" w:eastAsia="Calibri" w:hAnsi="Calibri"/>
          <w:b/>
          <w:i/>
          <w:kern w:val="24"/>
          <w:sz w:val="20"/>
          <w:szCs w:val="20"/>
          <w:u w:val="single"/>
        </w:rPr>
        <w:t xml:space="preserve">Δήλωση Αποποίησης Ευθύνης </w:t>
      </w:r>
    </w:p>
    <w:p w14:paraId="08D55012" w14:textId="77777777" w:rsidR="00596EF6" w:rsidRPr="00596EF6" w:rsidRDefault="00596EF6" w:rsidP="00596EF6">
      <w:pPr>
        <w:spacing w:after="0" w:line="280" w:lineRule="exact"/>
        <w:ind w:left="-144"/>
        <w:jc w:val="both"/>
        <w:rPr>
          <w:rFonts w:ascii="Calibri" w:eastAsia="Calibri" w:hAnsi="Calibri"/>
          <w:kern w:val="24"/>
          <w:sz w:val="15"/>
          <w:szCs w:val="15"/>
        </w:rPr>
      </w:pPr>
      <w:r w:rsidRPr="00596EF6">
        <w:rPr>
          <w:rFonts w:ascii="Calibri" w:eastAsia="Calibri" w:hAnsi="Calibri"/>
          <w:kern w:val="24"/>
          <w:sz w:val="15"/>
          <w:szCs w:val="15"/>
        </w:rPr>
        <w:t xml:space="preserve">Αυτή η ανακοίνωση έχει ετοιμαστεί από την Πειραιώς </w:t>
      </w:r>
      <w:proofErr w:type="spellStart"/>
      <w:r w:rsidRPr="00596EF6">
        <w:rPr>
          <w:rFonts w:ascii="Calibri" w:eastAsia="Calibri" w:hAnsi="Calibri"/>
          <w:kern w:val="24"/>
          <w:sz w:val="15"/>
          <w:szCs w:val="15"/>
        </w:rPr>
        <w:t>Financial</w:t>
      </w:r>
      <w:proofErr w:type="spellEnd"/>
      <w:r w:rsidRPr="00596EF6">
        <w:rPr>
          <w:rFonts w:ascii="Calibri" w:eastAsia="Calibri" w:hAnsi="Calibri"/>
          <w:kern w:val="24"/>
          <w:sz w:val="15"/>
          <w:szCs w:val="15"/>
        </w:rPr>
        <w:t xml:space="preserve"> Holdings A.Ε. (πρώην Τράπεζα Πειραιώς Α.Ε.) και τις θυγατρικές και συνδεδεμένες επιχειρήσεις της (ο «Όμιλος» ή «Εμείς») αποκλειστικά για σκοπούς πληροφόρησης. Αναφορές στην «Εταιρία», «Τράπεζα Πειραιώς», «Τράπεζα Πειραιώς Α.Ε.» ή στην «Τράπεζα» πρέπει να θεωρούνται και να εκλαμβάνονται ως αναφορές στην Πειραιώς </w:t>
      </w:r>
      <w:proofErr w:type="spellStart"/>
      <w:r w:rsidRPr="00596EF6">
        <w:rPr>
          <w:rFonts w:ascii="Calibri" w:eastAsia="Calibri" w:hAnsi="Calibri"/>
          <w:kern w:val="24"/>
          <w:sz w:val="15"/>
          <w:szCs w:val="15"/>
        </w:rPr>
        <w:t>Financial</w:t>
      </w:r>
      <w:proofErr w:type="spellEnd"/>
      <w:r w:rsidRPr="00596EF6">
        <w:rPr>
          <w:rFonts w:ascii="Calibri" w:eastAsia="Calibri" w:hAnsi="Calibri"/>
          <w:kern w:val="24"/>
          <w:sz w:val="15"/>
          <w:szCs w:val="15"/>
        </w:rPr>
        <w:t xml:space="preserve"> Holdings A.Ε. (πρώην Τράπεζα Πειραιώς Α.Ε.) τόσο για το χρονικό διάστημα πριν όσο και μετά την ολοκλήρωση της απόσχισης στις 30 Σεπτεμβρίου 2020, οπότε οι βασικές τραπεζικές δραστηριότητες της πρώην Τράπεζας Πειραιώς Ανώνυμη Εταιρεία </w:t>
      </w:r>
      <w:proofErr w:type="spellStart"/>
      <w:r w:rsidRPr="00596EF6">
        <w:rPr>
          <w:rFonts w:ascii="Calibri" w:eastAsia="Calibri" w:hAnsi="Calibri"/>
          <w:kern w:val="24"/>
          <w:sz w:val="15"/>
          <w:szCs w:val="15"/>
        </w:rPr>
        <w:t>εισφέρθηκαν</w:t>
      </w:r>
      <w:proofErr w:type="spellEnd"/>
      <w:r w:rsidRPr="00596EF6">
        <w:rPr>
          <w:rFonts w:ascii="Calibri" w:eastAsia="Calibri" w:hAnsi="Calibri"/>
          <w:kern w:val="24"/>
          <w:sz w:val="15"/>
          <w:szCs w:val="15"/>
        </w:rPr>
        <w:t xml:space="preserve"> στο </w:t>
      </w:r>
      <w:proofErr w:type="spellStart"/>
      <w:r w:rsidRPr="00596EF6">
        <w:rPr>
          <w:rFonts w:ascii="Calibri" w:eastAsia="Calibri" w:hAnsi="Calibri"/>
          <w:kern w:val="24"/>
          <w:sz w:val="15"/>
          <w:szCs w:val="15"/>
        </w:rPr>
        <w:t>νεοσυσταθέν</w:t>
      </w:r>
      <w:proofErr w:type="spellEnd"/>
      <w:r w:rsidRPr="00596EF6">
        <w:rPr>
          <w:rFonts w:ascii="Calibri" w:eastAsia="Calibri" w:hAnsi="Calibri"/>
          <w:kern w:val="24"/>
          <w:sz w:val="15"/>
          <w:szCs w:val="15"/>
        </w:rPr>
        <w:t xml:space="preserve"> πιστωτικό ίδρυμα, δηλαδή στην «Τράπεζα Πειραιώς Ανώνυμη Εταιρεία» (η «Διάσπαση»), στο βαθμό που δεν προβλέπεται άλλως ή δεν συνάγεται διαφορετικά από τα </w:t>
      </w:r>
      <w:proofErr w:type="spellStart"/>
      <w:r w:rsidRPr="00596EF6">
        <w:rPr>
          <w:rFonts w:ascii="Calibri" w:eastAsia="Calibri" w:hAnsi="Calibri"/>
          <w:kern w:val="24"/>
          <w:sz w:val="15"/>
          <w:szCs w:val="15"/>
        </w:rPr>
        <w:t>συμφραζόμενα</w:t>
      </w:r>
      <w:proofErr w:type="spellEnd"/>
      <w:r w:rsidRPr="00596EF6">
        <w:rPr>
          <w:rFonts w:ascii="Calibri" w:eastAsia="Calibri" w:hAnsi="Calibri"/>
          <w:kern w:val="24"/>
          <w:sz w:val="15"/>
          <w:szCs w:val="15"/>
        </w:rPr>
        <w:t xml:space="preserve">, συμπεριλαμβανομένου, μεταξύ άλλων, του πλαισίου των σχετικών αναφορών στην οντότητα που λειτουργεί ως πιστωτικό ίδρυμα και ασκεί τις βασικές τραπεζικές δραστηριότητες του Ομίλου (στην οποία περίπτωση τέτοιες αναφορές θα πρέπει να εκλαμβάνονται ως αναφορές (α) στην πρώην Τράπεζα Πειραιώς Ανώνυμη Εταιρεία (πλέον Πειραιώς </w:t>
      </w:r>
      <w:proofErr w:type="spellStart"/>
      <w:r w:rsidRPr="00596EF6">
        <w:rPr>
          <w:rFonts w:ascii="Calibri" w:eastAsia="Calibri" w:hAnsi="Calibri"/>
          <w:kern w:val="24"/>
          <w:sz w:val="15"/>
          <w:szCs w:val="15"/>
        </w:rPr>
        <w:t>Financial</w:t>
      </w:r>
      <w:proofErr w:type="spellEnd"/>
      <w:r w:rsidRPr="00596EF6">
        <w:rPr>
          <w:rFonts w:ascii="Calibri" w:eastAsia="Calibri" w:hAnsi="Calibri"/>
          <w:kern w:val="24"/>
          <w:sz w:val="15"/>
          <w:szCs w:val="15"/>
        </w:rPr>
        <w:t xml:space="preserve"> Holdings Α.Ε.) για το χρονικό διάστημα πριν τις 30 Δεκεμβρίου 2020 και (β) στην </w:t>
      </w:r>
      <w:proofErr w:type="spellStart"/>
      <w:r w:rsidRPr="00596EF6">
        <w:rPr>
          <w:rFonts w:ascii="Calibri" w:eastAsia="Calibri" w:hAnsi="Calibri"/>
          <w:kern w:val="24"/>
          <w:sz w:val="15"/>
          <w:szCs w:val="15"/>
        </w:rPr>
        <w:t>νεοσυσταθείσα</w:t>
      </w:r>
      <w:proofErr w:type="spellEnd"/>
      <w:r w:rsidRPr="00596EF6">
        <w:rPr>
          <w:rFonts w:ascii="Calibri" w:eastAsia="Calibri" w:hAnsi="Calibri"/>
          <w:kern w:val="24"/>
          <w:sz w:val="15"/>
          <w:szCs w:val="15"/>
        </w:rPr>
        <w:t xml:space="preserve"> τραπεζική οντότητα, την Τράπεζα Πειραιώς Ανώνυμη Εταιρία για το χρονικό διάστημα από 31 Δεκεμβρίου 2020 και έπειτα). </w:t>
      </w:r>
    </w:p>
    <w:p w14:paraId="7A6D8479" w14:textId="72EEBFB9" w:rsidR="00596EF6" w:rsidRPr="00596EF6" w:rsidRDefault="00596EF6" w:rsidP="00596EF6">
      <w:pPr>
        <w:spacing w:after="0" w:line="280" w:lineRule="exact"/>
        <w:ind w:left="-144"/>
        <w:jc w:val="both"/>
        <w:rPr>
          <w:rFonts w:ascii="Calibri" w:eastAsia="Calibri" w:hAnsi="Calibri"/>
          <w:kern w:val="24"/>
          <w:sz w:val="15"/>
          <w:szCs w:val="15"/>
        </w:rPr>
      </w:pPr>
      <w:r w:rsidRPr="00596EF6">
        <w:rPr>
          <w:rFonts w:ascii="Calibri" w:eastAsia="Calibri" w:hAnsi="Calibri"/>
          <w:kern w:val="24"/>
          <w:sz w:val="15"/>
          <w:szCs w:val="15"/>
        </w:rPr>
        <w:t xml:space="preserve">H χρηματοοικονομική και λειτουργική πληροφόρηση για τον Όμιλο όπως είχε για την χρήση που έληξε στις 31 Δεκεμβρίου 2020 και οι μελλοντικές προβολές που περιλαμβάνονται σε αυτήν την ανακοίνωση βασίζονται σε κάποια πρώτα στοιχεία και εκτιμήσεις της διοίκησης του Ομίλου που περαιτέρω βασίζονται σε ορισμένες παραδοχές οι οποίες εγγενώς είναι αβέβαιες και υπόκεινται σε αλλαγές, είτε αυτές οι αλλαγές είναι προβλέψιμες είτε μη δυνάμενες να προβλεφθούν. Αυτή η χρηματοοικονομική και λειτουργική πληροφόρηση δεν είναι σκόπιμο να θεωρηθεί ως η συνολική απεικόνιση της χρηματοοικονομικής και λειτουργικής πληροφόρησης του Ομίλου, όπως αυτή είχε για την χρήση που έληξε στις 31 Δεκεμβρίου 2020. Η πληροφόρηση αυτή έχει ετοιμαστεί από τα ανώτατα διοικητικά στελέχη μας και δεν έχει ελεγχθεί, επισκοπηθεί ή επιβεβαιωθεί από τους ανεξάρτητους ελεγκτές μας. Για το λόγο αυτό, δεν συστήνεται να στηριχθείτε σε αυτήν υπέρμετρα. Εκ της </w:t>
      </w:r>
      <w:r w:rsidR="00AC2977" w:rsidRPr="00596EF6">
        <w:rPr>
          <w:rFonts w:ascii="Calibri" w:eastAsia="Calibri" w:hAnsi="Calibri"/>
          <w:kern w:val="24"/>
          <w:sz w:val="15"/>
          <w:szCs w:val="15"/>
        </w:rPr>
        <w:t>φύσεως</w:t>
      </w:r>
      <w:r w:rsidRPr="00596EF6">
        <w:rPr>
          <w:rFonts w:ascii="Calibri" w:eastAsia="Calibri" w:hAnsi="Calibri"/>
          <w:kern w:val="24"/>
          <w:sz w:val="15"/>
          <w:szCs w:val="15"/>
        </w:rPr>
        <w:t xml:space="preserve"> τους, οι μελλοντικές προβολές περιλαμβάνουν κινδύνους και αβεβαιότητες. Κατά την διάρκεια των επόμενων εβδομάδων θα ολοκληρώσουμε την σύνταξη των χρηματοοικονομικών μας καταστάσεων για την χρήση που έληξε στις 31 Δεκεμβρίου 2020. </w:t>
      </w:r>
    </w:p>
    <w:p w14:paraId="5680102A" w14:textId="77777777" w:rsidR="00596EF6" w:rsidRPr="00596EF6" w:rsidRDefault="00596EF6" w:rsidP="00596EF6">
      <w:pPr>
        <w:spacing w:after="0" w:line="280" w:lineRule="exact"/>
        <w:ind w:left="-144"/>
        <w:jc w:val="both"/>
        <w:rPr>
          <w:rFonts w:ascii="Calibri" w:eastAsia="Calibri" w:hAnsi="Calibri"/>
          <w:kern w:val="24"/>
          <w:sz w:val="15"/>
          <w:szCs w:val="15"/>
        </w:rPr>
      </w:pPr>
      <w:r w:rsidRPr="00596EF6">
        <w:rPr>
          <w:rFonts w:ascii="Calibri" w:eastAsia="Calibri" w:hAnsi="Calibri"/>
          <w:kern w:val="24"/>
          <w:sz w:val="15"/>
          <w:szCs w:val="15"/>
        </w:rPr>
        <w:lastRenderedPageBreak/>
        <w:t xml:space="preserve">Για τους σκοπούς της παρούσας προειδοποίησης, στην ανακοίνωση αυτή πρέπει να θεωρηθεί ότι το περιεχόμενό της συμπεριλαμβάνει τυχόν προφορικά σχόλια ή παρουσιάσεις και τυχόν συνεδρίες όπου τίθενται ερωτήσεις και δίδονται απαντήσεις. Θεωρείται ότι έχετε συμφωνήσει με τους ακόλουθους όρους, προϋποθέσεις και περιορισμούς, καθώς και ότι έχετε αναγνωρίσει ότι κατανοείτε τις νομικές και ρυθμιστικές κυρώσεις που συνδέονται με την κακή χρήση, γνωστοποίηση ή ακατάλληλη διάθεση της ανακοίνωσης ή οποιασδήποτε πληροφορίας που εμπεριέχεται σε αυτήν. Αναγνωρίζετε επίσης ότι, στην περίπτωση που η παρούσα διαβιβαστεί και παραληφθεί ηλεκτρονικά, αυτή  είναι εμπιστευτική και </w:t>
      </w:r>
      <w:proofErr w:type="spellStart"/>
      <w:r w:rsidRPr="00596EF6">
        <w:rPr>
          <w:rFonts w:ascii="Calibri" w:eastAsia="Calibri" w:hAnsi="Calibri"/>
          <w:kern w:val="24"/>
          <w:sz w:val="15"/>
          <w:szCs w:val="15"/>
        </w:rPr>
        <w:t>σκοπείται</w:t>
      </w:r>
      <w:proofErr w:type="spellEnd"/>
      <w:r w:rsidRPr="00596EF6">
        <w:rPr>
          <w:rFonts w:ascii="Calibri" w:eastAsia="Calibri" w:hAnsi="Calibri"/>
          <w:kern w:val="24"/>
          <w:sz w:val="15"/>
          <w:szCs w:val="15"/>
        </w:rPr>
        <w:t xml:space="preserve"> να δοθεί μόνον σε εσάς και συμφωνείτε ότι δεν θα προωθήσετε, αντιγράψετε, αποθηκεύσετε ή δημοσιεύσετε την ηλεκτρονική διαβίβαση ή την ανακοίνωση σε κανένα άλλο πρόσωπο. </w:t>
      </w:r>
    </w:p>
    <w:p w14:paraId="09F8FEFE" w14:textId="77777777" w:rsidR="00596EF6" w:rsidRPr="00596EF6" w:rsidRDefault="00596EF6" w:rsidP="00596EF6">
      <w:pPr>
        <w:spacing w:after="0" w:line="280" w:lineRule="exact"/>
        <w:ind w:left="-144"/>
        <w:jc w:val="both"/>
        <w:rPr>
          <w:rFonts w:ascii="Calibri" w:eastAsia="Calibri" w:hAnsi="Calibri"/>
          <w:kern w:val="24"/>
          <w:sz w:val="15"/>
          <w:szCs w:val="15"/>
        </w:rPr>
      </w:pPr>
      <w:r w:rsidRPr="00596EF6">
        <w:rPr>
          <w:rFonts w:ascii="Calibri" w:eastAsia="Calibri" w:hAnsi="Calibri"/>
          <w:kern w:val="24"/>
          <w:sz w:val="15"/>
          <w:szCs w:val="15"/>
        </w:rPr>
        <w:t xml:space="preserve">Η παρούσα ανακοίνωση δεν συνιστά ούτε αποτελεί μέρος οποιασδήποτε προσφοράς για πώληση ή πρόσκληση για την υποβολή οποιασδήποτε προσφοράς προς απόκτηση κινητών αξιών. Η παρούσα ανακοίνωση δεν έχει σκοπό να παρέχει την βάση για την αξιολόγηση οποιασδήποτε επένδυσης σε κινητές αξίες και δεν συνιστά επενδυτική, νομική, λογιστική, ρυθμιστική, φορολογική ή άλλου είδους συμβουλή ούτε λαμβάνει υπόψη τους προσωπικούς σας σκοπούς ή την νομική, λογιστική, ρυθμιστική, φορολογική ή χρηματοοικονομική κατάστασή σας ή τις ιδιαίτερές σας ανάγκες. Καμία εγγυητική δήλωση, εγγύηση ή δέσμευση δεν παρέχεται με την παρούσα και δεν πρέπει να δοθεί για οποιοδήποτε λόγο βάση στις πληροφορίες που περιέχονται σε αυτήν την ανακοίνωση για την λήψη οποιασδήποτε επενδυτικής απόφασης σε σχέση με οποιοδήποτε είδος κινητής αξίας που εκδίδεται από την Εταιρία ή τις θυγατρικές της ή τις συνδεδεμένες με αυτήν επιχειρήσεις ή για οποιαδήποτε άλλη συναλλαγή. Εσείς είστε ο μόνος υπεύθυνος για την διαμόρφωση των δικών σας απόψεων και συμπερασμάτων σε τέτοιου είδους θέματα όπως επίσης και για την δική σας ανεξάρτητη αξιολόγηση σχετικά με την Εταιρία/τον Όμιλο. Είστε αποκλειστικά υπεύθυνος να αναζητήσετε ανεξάρτητη επαγγελματική συμβουλή σε σχέση με την Εταιρία/τον Όμιλο και θα πρέπει να συμβουλευτείτε τους δικούς σας συμβούλους όσον αφορά τις νομικές, φορολογικές, επιχειρηματικές, χρηματοοικονομικές και άλλες σχετικές πτυχές ή/και συνέπειες της όποιας επενδυτικής απόφασης. Καμία ευθύνη ή νομική υποχρέωση δεν αναλαμβάνεται από κανένα πρόσωπο σε σχέση με οποιαδήποτε πληροφορία ή οποιαδήποτε ενέργεια που πραγματοποιείται από εσάς ή από τους υπαλλήλους, εργαζομένους, αντιπροσώπους ή συνεργάτες σας επί τη βάσει της πληροφορίας αυτής. </w:t>
      </w:r>
    </w:p>
    <w:p w14:paraId="305B00AF" w14:textId="77777777" w:rsidR="00596EF6" w:rsidRPr="00596EF6" w:rsidRDefault="00596EF6" w:rsidP="00596EF6">
      <w:pPr>
        <w:spacing w:after="0" w:line="280" w:lineRule="exact"/>
        <w:ind w:left="-144"/>
        <w:jc w:val="both"/>
        <w:rPr>
          <w:rFonts w:ascii="Calibri" w:eastAsia="Calibri" w:hAnsi="Calibri"/>
          <w:kern w:val="24"/>
          <w:sz w:val="15"/>
          <w:szCs w:val="15"/>
        </w:rPr>
      </w:pPr>
      <w:r w:rsidRPr="00596EF6">
        <w:rPr>
          <w:rFonts w:ascii="Calibri" w:eastAsia="Calibri" w:hAnsi="Calibri"/>
          <w:kern w:val="24"/>
          <w:sz w:val="15"/>
          <w:szCs w:val="15"/>
        </w:rPr>
        <w:t xml:space="preserve">Η παρούσα ανακοίνωση δεν αποσκοπεί να παρουσιάσει μια ολοκληρωμένη εικόνα και καμία εγγυητική δήλωση, εγγύηση ή δέσμευση δεν παρέχεται από την παρούσα ούτε από κανένα άλλο πρόσωπο όσον αφορά την πληρότητα, την ακρίβεια ή την αμεροληψία της πληροφόρησης που περιέχεται στην παρούσα ανακοίνωση. Η Εταιρία/ ο Όμιλος, οι χρηματοοικονομικοί και άλλοι σύμβουλοί τους, καθώς και τα οικεία μέλη των διοικητικών συμβουλίων, οι υπάλληλοι, εργαζόμενοι, αντιπρόσωποι και εκπρόσωποι, ρητά αποποιούνται οποιασδήποτε ευθύνης που τυχόν προκύψει εξ αφορμής της παρούσας ανακοίνωσης και τυχόν σφαλμάτων που περιέχονται σε αυτήν ή/και παραλείψεων αυτής ή από τυχόν χρήση της ανακοίνωσης ή των περιεχομένων της ή καθ' οιονδήποτε άλλο τρόπο, και δεν αποδέχονται καμία ευθύνη για τυχόν ζημία, ανεξαρτήτως του λόγου για τον οποίο αυτή προέκυψε, είτε άμεση είτε έμμεση, απορρέουσα από την χρήση της πληροφόρησης της παρούσας ανακοίνωσης ή σε σχέση με αυτήν. Ούτε η Εταιρία/ο Όμιλος ούτε οποιοδήποτε άλλο πρόσωπο παρέχει οποιαδήποτε δέσμευση ή τελεί υπό οποιαδήποτε υποχρέωση να </w:t>
      </w:r>
      <w:proofErr w:type="spellStart"/>
      <w:r w:rsidRPr="00596EF6">
        <w:rPr>
          <w:rFonts w:ascii="Calibri" w:eastAsia="Calibri" w:hAnsi="Calibri"/>
          <w:kern w:val="24"/>
          <w:sz w:val="15"/>
          <w:szCs w:val="15"/>
        </w:rPr>
        <w:t>επικαιροποιήσει</w:t>
      </w:r>
      <w:proofErr w:type="spellEnd"/>
      <w:r w:rsidRPr="00596EF6">
        <w:rPr>
          <w:rFonts w:ascii="Calibri" w:eastAsia="Calibri" w:hAnsi="Calibri"/>
          <w:kern w:val="24"/>
          <w:sz w:val="15"/>
          <w:szCs w:val="15"/>
        </w:rPr>
        <w:t xml:space="preserve"> οποιαδήποτε πληροφορία που περιέχεται σε αυτήν την ανακοίνωση, περιλαμβανομένων των μελλοντικών προβολών, για γεγονότα ή περιστάσεις που προκύπτουν μεταγενέστερα της ημερομηνίας της ανακοίνωσης. Κάθε παραλήπτης αναγνωρίζει ότι ούτε αυτός ούτε η Εταιρία/ο Όμιλος αποσκοπούν στο να υπέχει η Εταιρία ιδιαίτερα καθήκοντα επιμέλειας ή φροντίδας των συμφερόντων του θεατή ή παραλήπτη, της διοίκησης, των μετόχων, των πιστωτών του ή άλλου προσώπου και ότι ρητά δεν αποδέχεται την οποιαδήποτε τέτοια σχέση και συμφωνεί ότι είναι αυτός μόνος αρμόδιος να λαμβάνει κατά τρόπο ανεξάρτητο τις αποφάσεις του όσον αφορά την Εταιρία/τον Όμιλο καθώς και για οποιοδήποτε άλλο θέμα που άπτεται αυτού του εγγράφου. </w:t>
      </w:r>
    </w:p>
    <w:p w14:paraId="2E360C12" w14:textId="77777777" w:rsidR="00EE54EF" w:rsidRPr="00FA0F02" w:rsidRDefault="00596EF6" w:rsidP="00596EF6">
      <w:pPr>
        <w:spacing w:after="0" w:line="280" w:lineRule="exact"/>
        <w:ind w:left="-144"/>
        <w:jc w:val="both"/>
        <w:rPr>
          <w:rFonts w:ascii="Calibri" w:eastAsia="Calibri" w:hAnsi="Calibri"/>
          <w:kern w:val="24"/>
          <w:sz w:val="15"/>
          <w:szCs w:val="15"/>
        </w:rPr>
      </w:pPr>
      <w:r w:rsidRPr="00596EF6">
        <w:rPr>
          <w:rFonts w:ascii="Calibri" w:eastAsia="Calibri" w:hAnsi="Calibri"/>
          <w:kern w:val="24"/>
          <w:sz w:val="15"/>
          <w:szCs w:val="15"/>
        </w:rPr>
        <w:t xml:space="preserve">Η Εταιρία/ο Όμιλος έχει περιλάβει ορισμένους μη σύμφωνους με τα ΔΛΠ χρηματοοικονομικούς δείκτες μέτρησης σε αυτήν την ανακοίνωση. Τέτοιου είδους μετρήσεις είναι πιθανό να μην μπορούν να συγκριθούν με άλλες έτερων εταιριών. Αναφορές  σε τέτοιους μη σύμφωνους με τα ΔΛΠ χρηματοοικονομικούς δείκτες μέτρησης θα πρέπει να εξετάζονται επιπλέον των σύμφωνων με τα ΔΛΠ χρηματοοικονομικών δεικτών μέτρησης αλλά δεν πρέπει να θεωρούνται ως υποκατάστατο για τα αποτελέσματα που παρουσιάζονται σύμφωνα με τα ΔΛΠ. Ορισμένες πληροφορίες ή δηλώσεις που περιλαμβάνονται σε αυτήν την ανακοίνωση και δεν αποτελούν ιστορικά στοιχεία, περιλαμβανομένων, ενδεικτικά, οποιωνδήποτε αναφορών στις οποίες προηγούνται, ακολουθούν ή περιλαμβάνονται οι λέξεις «στόχοι», «πεποιθήσεις», «προσδοκίες», «σκοποί», «προθέσεις», «πιθανό», «προσδοκά», «θα», «θα μπορούσε» ή συναφείς εκφράσεις ή το αντίθετο τους, αποτελούν μελλοντικές προβολές μολονότι δεν </w:t>
      </w:r>
      <w:proofErr w:type="spellStart"/>
      <w:r w:rsidRPr="00596EF6">
        <w:rPr>
          <w:rFonts w:ascii="Calibri" w:eastAsia="Calibri" w:hAnsi="Calibri"/>
          <w:kern w:val="24"/>
          <w:sz w:val="15"/>
          <w:szCs w:val="15"/>
        </w:rPr>
        <w:t>ταυτοποιούνται</w:t>
      </w:r>
      <w:proofErr w:type="spellEnd"/>
      <w:r w:rsidRPr="00596EF6">
        <w:rPr>
          <w:rFonts w:ascii="Calibri" w:eastAsia="Calibri" w:hAnsi="Calibri"/>
          <w:kern w:val="24"/>
          <w:sz w:val="15"/>
          <w:szCs w:val="15"/>
        </w:rPr>
        <w:t xml:space="preserve"> ως τέτοιες ρητά. Στα παραδείγματα μελλοντικών προβολών συγκαταλέγονται, ενδεικτικά, καταστάσεις που δεν συνιστούν ιστορικά στοιχεία και πιθανόν να περιλαμβάνουν, μεταξύ άλλων, δηλώσεις που αφορούν την στρατηγική της Εταιρίας/του Ομίλου, των σχεδίων, των </w:t>
      </w:r>
      <w:r w:rsidRPr="00596EF6">
        <w:rPr>
          <w:rFonts w:ascii="Calibri" w:eastAsia="Calibri" w:hAnsi="Calibri"/>
          <w:kern w:val="24"/>
          <w:sz w:val="15"/>
          <w:szCs w:val="15"/>
        </w:rPr>
        <w:lastRenderedPageBreak/>
        <w:t>σκοπών, των στόχων, των επιχειρηματικών δραστηριοτήτων και των προοπτικών τους, των πολιτικών, οικονομικών και άλλων συνθηκών που ισχύουν στην Ελλάδα ή αλλού, της χρηματοοικονομικής κατάστασης της Εταιρίας/του Ομίλου, των αποτελεσμάτων χρήσης, της ρευστότητας, των κεφαλαιακών πόρων και των κεφαλαιακών εξόδων και της εξέλιξης των αγορών, καθώς και του αναμενόμενου κόστους από αποταμιεύσεις και συνεργασίες, όπως επίσης και την πρόθεση και τις πεποιθήσεις της Εταιρίας/Ομίλου και/ή της διοίκησης και των διευθυντικών στελεχών της αναφορικά με τα παραπάνω. Οι μελλοντικές προβολές δεν είναι εγγυήσεις μελλοντικής απόδοσης και περιέχουν ορισμένους κινδύνους, αβεβαιότητες και υποθέσεις που είναι δύσκολο να προβλεφθούν και βρίσκονται εκτός ελέγχου της Εταιρίας/του Ομίλου. Συνεπώς, τα πραγματικά αποτελέσματα και επιπτώσεις πιθανόν να διαφέρουν ουσιωδώς από τις διατυπώσεις αυτών των μελλοντικών προβολών. Έχουμε βασίσει αυτές τις παραδοχές σε πληροφορίες που είναι επί του παρόντος διαθέσιμες σε εμάς και στην περίπτωση που οποιαδήποτε εξ αυτών των παραδοχών αποδειχθεί εσφαλμένη, τα πραγματικά αποτελέσματα της αγοράς πιθανόν να αποκλίνουν ουσιωδώς. Παρότι δεν γνωρίζουμε τον αντίκτυπο που πιθανά τέτοιες διαφοροποιήσεις να έχουν στην επιχειρηματική μας δραστηριότητα, εάν υπάρξουν τέτοιες διαφοροποιήσεις, τα μελλοντικά μας λειτουργικά αποτελέσματα και η χρηματοοικονομική μας κατάσταση θα μπορούσαν να επηρεαστούν ουσιωδώς με δυσμενή τρόπο. Δεν πρέπει να βασίζεστε υπέρμετρα στις μελλοντικές προβολές μας.  Η πληροφόρηση σε αυτήν την ανακοίνωση επίσης περιλαμβάνει στρογγυλοποιήσεις. Κατά συνέπεια, το ποσό ορισμένων δεδομένων πιθανόν να μην συνάδει με τα απόλυτα αριθμητικά μεγέθη.</w:t>
      </w:r>
    </w:p>
    <w:p w14:paraId="6A79E7DA" w14:textId="77777777" w:rsidR="00EE54EF" w:rsidRDefault="00EE54EF" w:rsidP="00EE54EF">
      <w:pPr>
        <w:spacing w:after="120"/>
        <w:ind w:left="-142"/>
        <w:jc w:val="both"/>
        <w:rPr>
          <w:rFonts w:ascii="Calibri" w:eastAsia="Calibri" w:hAnsi="Calibri"/>
          <w:b/>
          <w:kern w:val="24"/>
          <w:sz w:val="18"/>
          <w:szCs w:val="18"/>
        </w:rPr>
      </w:pPr>
    </w:p>
    <w:p w14:paraId="61C083D0" w14:textId="77777777" w:rsidR="00EE54EF" w:rsidRPr="000455E0" w:rsidRDefault="000455E0" w:rsidP="00EE54EF">
      <w:pPr>
        <w:spacing w:after="120"/>
        <w:ind w:left="-142"/>
        <w:jc w:val="both"/>
        <w:rPr>
          <w:rFonts w:ascii="Calibri" w:eastAsia="Calibri" w:hAnsi="Calibri"/>
          <w:b/>
          <w:kern w:val="24"/>
          <w:sz w:val="18"/>
          <w:szCs w:val="18"/>
        </w:rPr>
      </w:pPr>
      <w:r>
        <w:rPr>
          <w:rFonts w:ascii="Calibri" w:eastAsia="Calibri" w:hAnsi="Calibri"/>
          <w:b/>
          <w:kern w:val="24"/>
          <w:sz w:val="18"/>
          <w:szCs w:val="18"/>
        </w:rPr>
        <w:t>Ενημέρωση Επενδυτών</w:t>
      </w:r>
    </w:p>
    <w:p w14:paraId="318DB8CD" w14:textId="77777777" w:rsidR="00EE54EF" w:rsidRPr="004D43B4" w:rsidRDefault="00EE54EF" w:rsidP="00EE54EF">
      <w:pPr>
        <w:spacing w:after="120"/>
        <w:ind w:left="-142"/>
        <w:jc w:val="both"/>
        <w:rPr>
          <w:rFonts w:ascii="Calibri" w:eastAsia="Calibri" w:hAnsi="Calibri"/>
          <w:kern w:val="24"/>
          <w:sz w:val="15"/>
          <w:szCs w:val="15"/>
        </w:rPr>
      </w:pPr>
      <w:r w:rsidRPr="00FA0F02">
        <w:rPr>
          <w:rFonts w:ascii="Calibri" w:eastAsia="Calibri" w:hAnsi="Calibri"/>
          <w:kern w:val="24"/>
          <w:sz w:val="15"/>
          <w:szCs w:val="15"/>
        </w:rPr>
        <w:t>Αμερικής</w:t>
      </w:r>
      <w:r w:rsidRPr="004D43B4">
        <w:rPr>
          <w:rFonts w:ascii="Calibri" w:eastAsia="Calibri" w:hAnsi="Calibri"/>
          <w:kern w:val="24"/>
          <w:sz w:val="15"/>
          <w:szCs w:val="15"/>
        </w:rPr>
        <w:t xml:space="preserve"> 4, 105 64 Αθ</w:t>
      </w:r>
      <w:r w:rsidRPr="00FA0F02">
        <w:rPr>
          <w:rFonts w:ascii="Calibri" w:eastAsia="Calibri" w:hAnsi="Calibri"/>
          <w:kern w:val="24"/>
          <w:sz w:val="15"/>
          <w:szCs w:val="15"/>
        </w:rPr>
        <w:t>ήνα</w:t>
      </w:r>
    </w:p>
    <w:p w14:paraId="24F75C14" w14:textId="77777777" w:rsidR="00EE54EF" w:rsidRPr="000455E0" w:rsidRDefault="00EE54EF" w:rsidP="00EE54EF">
      <w:pPr>
        <w:spacing w:after="120"/>
        <w:ind w:left="-142"/>
        <w:jc w:val="both"/>
        <w:rPr>
          <w:rFonts w:ascii="Calibri" w:eastAsia="Calibri" w:hAnsi="Calibri"/>
          <w:kern w:val="24"/>
          <w:sz w:val="15"/>
          <w:szCs w:val="15"/>
        </w:rPr>
      </w:pPr>
      <w:proofErr w:type="spellStart"/>
      <w:r w:rsidRPr="004D43B4">
        <w:rPr>
          <w:rFonts w:ascii="Calibri" w:eastAsia="Calibri" w:hAnsi="Calibri"/>
          <w:kern w:val="24"/>
          <w:sz w:val="15"/>
          <w:szCs w:val="15"/>
        </w:rPr>
        <w:t>Τηλ</w:t>
      </w:r>
      <w:proofErr w:type="spellEnd"/>
      <w:r w:rsidRPr="004D43B4">
        <w:rPr>
          <w:rFonts w:ascii="Calibri" w:eastAsia="Calibri" w:hAnsi="Calibri"/>
          <w:kern w:val="24"/>
          <w:sz w:val="15"/>
          <w:szCs w:val="15"/>
        </w:rPr>
        <w:t xml:space="preserve">. : (+30 ) 210 </w:t>
      </w:r>
      <w:r w:rsidR="000455E0">
        <w:rPr>
          <w:rFonts w:ascii="Calibri" w:eastAsia="Calibri" w:hAnsi="Calibri"/>
          <w:kern w:val="24"/>
          <w:sz w:val="15"/>
          <w:szCs w:val="15"/>
        </w:rPr>
        <w:t>3335818</w:t>
      </w:r>
    </w:p>
    <w:p w14:paraId="4094294E" w14:textId="77777777" w:rsidR="00EE54EF" w:rsidRPr="00427967" w:rsidRDefault="00EE54EF" w:rsidP="00EE54EF">
      <w:pPr>
        <w:spacing w:after="120"/>
        <w:ind w:left="-142"/>
        <w:jc w:val="both"/>
        <w:rPr>
          <w:rFonts w:ascii="Calibri" w:eastAsia="Calibri" w:hAnsi="Calibri"/>
          <w:kern w:val="24"/>
          <w:sz w:val="15"/>
          <w:szCs w:val="15"/>
          <w:lang w:val="en-US"/>
        </w:rPr>
      </w:pPr>
      <w:r w:rsidRPr="00FA0F02">
        <w:rPr>
          <w:rFonts w:ascii="Calibri" w:eastAsia="Calibri" w:hAnsi="Calibri"/>
          <w:kern w:val="24"/>
          <w:sz w:val="15"/>
          <w:szCs w:val="15"/>
          <w:lang w:val="en-US"/>
        </w:rPr>
        <w:t>Bloomberg</w:t>
      </w:r>
      <w:r w:rsidRPr="00427967">
        <w:rPr>
          <w:rFonts w:ascii="Calibri" w:eastAsia="Calibri" w:hAnsi="Calibri"/>
          <w:kern w:val="24"/>
          <w:sz w:val="15"/>
          <w:szCs w:val="15"/>
          <w:lang w:val="en-US"/>
        </w:rPr>
        <w:t xml:space="preserve">: </w:t>
      </w:r>
      <w:r w:rsidRPr="00FA0F02">
        <w:rPr>
          <w:rFonts w:ascii="Calibri" w:eastAsia="Calibri" w:hAnsi="Calibri"/>
          <w:kern w:val="24"/>
          <w:sz w:val="15"/>
          <w:szCs w:val="15"/>
          <w:lang w:val="en-US"/>
        </w:rPr>
        <w:t>TPEIR</w:t>
      </w:r>
      <w:r w:rsidRPr="00427967">
        <w:rPr>
          <w:rFonts w:ascii="Calibri" w:eastAsia="Calibri" w:hAnsi="Calibri"/>
          <w:kern w:val="24"/>
          <w:sz w:val="15"/>
          <w:szCs w:val="15"/>
          <w:lang w:val="en-US"/>
        </w:rPr>
        <w:t xml:space="preserve"> </w:t>
      </w:r>
      <w:r w:rsidRPr="00FA0F02">
        <w:rPr>
          <w:rFonts w:ascii="Calibri" w:eastAsia="Calibri" w:hAnsi="Calibri"/>
          <w:kern w:val="24"/>
          <w:sz w:val="15"/>
          <w:szCs w:val="15"/>
          <w:lang w:val="en-US"/>
        </w:rPr>
        <w:t>GA</w:t>
      </w:r>
      <w:r w:rsidRPr="00427967">
        <w:rPr>
          <w:rFonts w:ascii="Calibri" w:eastAsia="Calibri" w:hAnsi="Calibri"/>
          <w:kern w:val="24"/>
          <w:sz w:val="15"/>
          <w:szCs w:val="15"/>
          <w:lang w:val="en-US"/>
        </w:rPr>
        <w:t xml:space="preserve"> | </w:t>
      </w:r>
      <w:r w:rsidRPr="00FA0F02">
        <w:rPr>
          <w:rFonts w:ascii="Calibri" w:eastAsia="Calibri" w:hAnsi="Calibri"/>
          <w:kern w:val="24"/>
          <w:sz w:val="15"/>
          <w:szCs w:val="15"/>
          <w:lang w:val="en-US"/>
        </w:rPr>
        <w:t>Reuters</w:t>
      </w:r>
      <w:r w:rsidRPr="00427967">
        <w:rPr>
          <w:rFonts w:ascii="Calibri" w:eastAsia="Calibri" w:hAnsi="Calibri"/>
          <w:kern w:val="24"/>
          <w:sz w:val="15"/>
          <w:szCs w:val="15"/>
          <w:lang w:val="en-US"/>
        </w:rPr>
        <w:t xml:space="preserve">: </w:t>
      </w:r>
      <w:r w:rsidRPr="00FA0F02">
        <w:rPr>
          <w:rFonts w:ascii="Calibri" w:eastAsia="Calibri" w:hAnsi="Calibri"/>
          <w:kern w:val="24"/>
          <w:sz w:val="15"/>
          <w:szCs w:val="15"/>
          <w:lang w:val="en-US"/>
        </w:rPr>
        <w:t>BOPr</w:t>
      </w:r>
      <w:r w:rsidRPr="00427967">
        <w:rPr>
          <w:rFonts w:ascii="Calibri" w:eastAsia="Calibri" w:hAnsi="Calibri"/>
          <w:kern w:val="24"/>
          <w:sz w:val="15"/>
          <w:szCs w:val="15"/>
          <w:lang w:val="en-US"/>
        </w:rPr>
        <w:t>.</w:t>
      </w:r>
      <w:r w:rsidRPr="00FA0F02">
        <w:rPr>
          <w:rFonts w:ascii="Calibri" w:eastAsia="Calibri" w:hAnsi="Calibri"/>
          <w:kern w:val="24"/>
          <w:sz w:val="15"/>
          <w:szCs w:val="15"/>
          <w:lang w:val="en-US"/>
        </w:rPr>
        <w:t>AT</w:t>
      </w:r>
      <w:r w:rsidRPr="00427967">
        <w:rPr>
          <w:rFonts w:ascii="Calibri" w:eastAsia="Calibri" w:hAnsi="Calibri"/>
          <w:kern w:val="24"/>
          <w:sz w:val="15"/>
          <w:szCs w:val="15"/>
          <w:lang w:val="en-US"/>
        </w:rPr>
        <w:t xml:space="preserve"> </w:t>
      </w:r>
    </w:p>
    <w:p w14:paraId="0F017E77" w14:textId="77777777" w:rsidR="00EE54EF" w:rsidRPr="00FA0F02" w:rsidRDefault="00EE54EF" w:rsidP="00EE54EF">
      <w:pPr>
        <w:spacing w:after="120"/>
        <w:ind w:left="-142"/>
        <w:jc w:val="both"/>
        <w:rPr>
          <w:rFonts w:ascii="Calibri" w:eastAsia="Calibri" w:hAnsi="Calibri"/>
          <w:kern w:val="24"/>
          <w:sz w:val="15"/>
          <w:szCs w:val="15"/>
          <w:lang w:val="en-US"/>
        </w:rPr>
      </w:pPr>
      <w:r w:rsidRPr="00FA0F02">
        <w:rPr>
          <w:rFonts w:ascii="Calibri" w:eastAsia="Calibri" w:hAnsi="Calibri"/>
          <w:kern w:val="24"/>
          <w:sz w:val="15"/>
          <w:szCs w:val="15"/>
          <w:lang w:val="en-US"/>
        </w:rPr>
        <w:t xml:space="preserve">ISIN: GRS014003024  </w:t>
      </w:r>
    </w:p>
    <w:p w14:paraId="475D48A3" w14:textId="77777777" w:rsidR="00EE54EF" w:rsidRPr="00FA0F02" w:rsidRDefault="00EE54EF" w:rsidP="00EE54EF">
      <w:pPr>
        <w:spacing w:after="120"/>
        <w:ind w:left="-142"/>
        <w:jc w:val="both"/>
        <w:rPr>
          <w:rFonts w:ascii="Calibri" w:eastAsia="Calibri" w:hAnsi="Calibri"/>
          <w:kern w:val="24"/>
          <w:sz w:val="15"/>
          <w:szCs w:val="15"/>
          <w:lang w:val="en-US"/>
        </w:rPr>
      </w:pPr>
      <w:r w:rsidRPr="00FA0F02">
        <w:rPr>
          <w:rFonts w:ascii="Calibri" w:eastAsia="Calibri" w:hAnsi="Calibri"/>
          <w:kern w:val="24"/>
          <w:sz w:val="15"/>
          <w:szCs w:val="15"/>
          <w:lang w:val="en-US"/>
        </w:rPr>
        <w:t>investor_relations@</w:t>
      </w:r>
      <w:r w:rsidR="00596EF6">
        <w:rPr>
          <w:rFonts w:ascii="Calibri" w:eastAsia="Calibri" w:hAnsi="Calibri"/>
          <w:kern w:val="24"/>
          <w:sz w:val="15"/>
          <w:szCs w:val="15"/>
          <w:lang w:val="en-US"/>
        </w:rPr>
        <w:t>piraeusholdings</w:t>
      </w:r>
      <w:r w:rsidRPr="00FA0F02">
        <w:rPr>
          <w:rFonts w:ascii="Calibri" w:eastAsia="Calibri" w:hAnsi="Calibri"/>
          <w:kern w:val="24"/>
          <w:sz w:val="15"/>
          <w:szCs w:val="15"/>
          <w:lang w:val="en-US"/>
        </w:rPr>
        <w:t>.gr</w:t>
      </w:r>
    </w:p>
    <w:p w14:paraId="60B871E6" w14:textId="050C617A" w:rsidR="00CA0A30" w:rsidRPr="00BB245A" w:rsidRDefault="00EE54EF" w:rsidP="00596EF6">
      <w:pPr>
        <w:spacing w:after="120"/>
        <w:ind w:left="-142"/>
        <w:jc w:val="both"/>
        <w:rPr>
          <w:rFonts w:ascii="Calibri" w:eastAsia="Calibri" w:hAnsi="Calibri"/>
          <w:color w:val="000000" w:themeColor="text1"/>
          <w:kern w:val="24"/>
          <w:sz w:val="15"/>
          <w:szCs w:val="15"/>
          <w:lang w:val="en-US"/>
        </w:rPr>
      </w:pPr>
      <w:r w:rsidRPr="00FA0F02">
        <w:rPr>
          <w:rFonts w:ascii="Calibri" w:eastAsia="Calibri" w:hAnsi="Calibri"/>
          <w:kern w:val="24"/>
          <w:sz w:val="15"/>
          <w:szCs w:val="15"/>
          <w:lang w:val="en-US"/>
        </w:rPr>
        <w:t>www.</w:t>
      </w:r>
      <w:r w:rsidR="00596EF6">
        <w:rPr>
          <w:rFonts w:ascii="Calibri" w:eastAsia="Calibri" w:hAnsi="Calibri"/>
          <w:kern w:val="24"/>
          <w:sz w:val="15"/>
          <w:szCs w:val="15"/>
          <w:lang w:val="en-US"/>
        </w:rPr>
        <w:t>piraeusholdings</w:t>
      </w:r>
      <w:r w:rsidRPr="00FA0F02">
        <w:rPr>
          <w:rFonts w:ascii="Calibri" w:eastAsia="Calibri" w:hAnsi="Calibri"/>
          <w:kern w:val="24"/>
          <w:sz w:val="15"/>
          <w:szCs w:val="15"/>
          <w:lang w:val="en-US"/>
        </w:rPr>
        <w:t>.</w:t>
      </w:r>
      <w:r w:rsidR="00596EF6">
        <w:rPr>
          <w:rFonts w:ascii="Calibri" w:eastAsia="Calibri" w:hAnsi="Calibri"/>
          <w:kern w:val="24"/>
          <w:sz w:val="15"/>
          <w:szCs w:val="15"/>
          <w:lang w:val="en-US"/>
        </w:rPr>
        <w:t>gr</w:t>
      </w:r>
    </w:p>
    <w:sectPr w:rsidR="00CA0A30" w:rsidRPr="00BB245A" w:rsidSect="003A4DAD">
      <w:headerReference w:type="default" r:id="rId18"/>
      <w:footerReference w:type="default" r:id="rId19"/>
      <w:headerReference w:type="first" r:id="rId20"/>
      <w:footerReference w:type="first" r:id="rId21"/>
      <w:pgSz w:w="11906" w:h="16838" w:code="9"/>
      <w:pgMar w:top="2410" w:right="926" w:bottom="1134" w:left="297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E3B35" w14:textId="77777777" w:rsidR="00337141" w:rsidRDefault="00337141" w:rsidP="00A14E18">
      <w:pPr>
        <w:spacing w:after="0" w:line="240" w:lineRule="auto"/>
      </w:pPr>
      <w:r>
        <w:separator/>
      </w:r>
    </w:p>
  </w:endnote>
  <w:endnote w:type="continuationSeparator" w:id="0">
    <w:p w14:paraId="45A99547" w14:textId="77777777" w:rsidR="00337141" w:rsidRDefault="00337141" w:rsidP="00A14E18">
      <w:pPr>
        <w:spacing w:after="0" w:line="240" w:lineRule="auto"/>
      </w:pPr>
      <w:r>
        <w:continuationSeparator/>
      </w:r>
    </w:p>
  </w:endnote>
  <w:endnote w:type="continuationNotice" w:id="1">
    <w:p w14:paraId="7FD85938" w14:textId="77777777" w:rsidR="00337141" w:rsidRDefault="00337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Piraeus Sans">
    <w:altName w:val="Calibri"/>
    <w:charset w:val="00"/>
    <w:family w:val="swiss"/>
    <w:pitch w:val="variable"/>
    <w:sig w:usb0="00000083" w:usb1="4000205A"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53EE" w14:textId="77777777" w:rsidR="00337141" w:rsidRDefault="00337141" w:rsidP="006E0C7E">
    <w:pPr>
      <w:pStyle w:val="Footer"/>
      <w:ind w:right="-427"/>
      <w:jc w:val="right"/>
    </w:pPr>
    <w:r>
      <w:rPr>
        <w:noProof/>
        <w:lang w:eastAsia="el-GR"/>
      </w:rPr>
      <mc:AlternateContent>
        <mc:Choice Requires="wpg">
          <w:drawing>
            <wp:anchor distT="0" distB="0" distL="114300" distR="114300" simplePos="0" relativeHeight="251697152" behindDoc="0" locked="0" layoutInCell="1" allowOverlap="1" wp14:anchorId="49568B7A" wp14:editId="18319BB1">
              <wp:simplePos x="0" y="0"/>
              <wp:positionH relativeFrom="column">
                <wp:posOffset>-1128395</wp:posOffset>
              </wp:positionH>
              <wp:positionV relativeFrom="paragraph">
                <wp:posOffset>279791</wp:posOffset>
              </wp:positionV>
              <wp:extent cx="4603750" cy="386715"/>
              <wp:effectExtent l="0" t="0" r="0" b="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0" cy="386715"/>
                        <a:chOff x="2176" y="16123"/>
                        <a:chExt cx="7196" cy="541"/>
                      </a:xfrm>
                    </wpg:grpSpPr>
                    <wps:wsp>
                      <wps:cNvPr id="8" name="Text Box 13"/>
                      <wps:cNvSpPr txBox="1">
                        <a:spLocks noChangeArrowheads="1"/>
                      </wps:cNvSpPr>
                      <wps:spPr bwMode="auto">
                        <a:xfrm>
                          <a:off x="2176" y="16133"/>
                          <a:ext cx="686"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93B5" w14:textId="3D5F9394" w:rsidR="00337141" w:rsidRPr="004A3CDA" w:rsidRDefault="00337141" w:rsidP="00C33762">
                            <w:pPr>
                              <w:jc w:val="right"/>
                              <w:rPr>
                                <w:b/>
                                <w:color w:val="023E87"/>
                              </w:rPr>
                            </w:pPr>
                            <w:r w:rsidRPr="004A3CDA">
                              <w:rPr>
                                <w:b/>
                                <w:color w:val="023E87"/>
                              </w:rPr>
                              <w:fldChar w:fldCharType="begin"/>
                            </w:r>
                            <w:r w:rsidRPr="004A3CDA">
                              <w:rPr>
                                <w:b/>
                                <w:color w:val="023E87"/>
                              </w:rPr>
                              <w:instrText xml:space="preserve"> PAGE   \* MERGEFORMAT </w:instrText>
                            </w:r>
                            <w:r w:rsidRPr="004A3CDA">
                              <w:rPr>
                                <w:b/>
                                <w:color w:val="023E87"/>
                              </w:rPr>
                              <w:fldChar w:fldCharType="separate"/>
                            </w:r>
                            <w:r w:rsidR="00B55F0A">
                              <w:rPr>
                                <w:b/>
                                <w:noProof/>
                                <w:color w:val="023E87"/>
                              </w:rPr>
                              <w:t>17</w:t>
                            </w:r>
                            <w:r w:rsidRPr="004A3CDA">
                              <w:rPr>
                                <w:b/>
                                <w:noProof/>
                                <w:color w:val="023E87"/>
                              </w:rPr>
                              <w:fldChar w:fldCharType="end"/>
                            </w:r>
                          </w:p>
                        </w:txbxContent>
                      </wps:txbx>
                      <wps:bodyPr rot="0" vert="horz" wrap="square" lIns="91440" tIns="45720" rIns="0" bIns="45720" anchor="t" anchorCtr="0" upright="1">
                        <a:noAutofit/>
                      </wps:bodyPr>
                    </wps:wsp>
                    <wps:wsp>
                      <wps:cNvPr id="9" name="Text Box 14"/>
                      <wps:cNvSpPr txBox="1">
                        <a:spLocks noChangeArrowheads="1"/>
                      </wps:cNvSpPr>
                      <wps:spPr bwMode="auto">
                        <a:xfrm>
                          <a:off x="2944" y="16123"/>
                          <a:ext cx="642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5E39" w14:textId="77777777" w:rsidR="00337141" w:rsidRPr="004A3CDA" w:rsidRDefault="00337141">
                            <w:pPr>
                              <w:rPr>
                                <w:b/>
                                <w:color w:val="023E87"/>
                                <w:lang w:val="en-US"/>
                              </w:rPr>
                            </w:pPr>
                            <w:r w:rsidRPr="004A3CDA">
                              <w:rPr>
                                <w:b/>
                                <w:color w:val="023E87"/>
                              </w:rPr>
                              <w:t>|</w:t>
                            </w:r>
                            <w:r w:rsidRPr="004A3CDA">
                              <w:rPr>
                                <w:b/>
                                <w:color w:val="023E87"/>
                                <w:lang w:val="en-US"/>
                              </w:rPr>
                              <w:t xml:space="preserve"> </w:t>
                            </w:r>
                            <w:r>
                              <w:rPr>
                                <w:b/>
                                <w:color w:val="023E87"/>
                              </w:rPr>
                              <w:t>16</w:t>
                            </w:r>
                            <w:r w:rsidRPr="004A3CDA">
                              <w:rPr>
                                <w:b/>
                                <w:color w:val="023E87"/>
                              </w:rPr>
                              <w:t xml:space="preserve"> </w:t>
                            </w:r>
                            <w:r>
                              <w:rPr>
                                <w:b/>
                                <w:color w:val="023E87"/>
                              </w:rPr>
                              <w:t>Μαρτίου</w:t>
                            </w:r>
                            <w:r w:rsidRPr="004A3CDA">
                              <w:rPr>
                                <w:b/>
                                <w:color w:val="023E87"/>
                              </w:rPr>
                              <w:t xml:space="preserve"> </w:t>
                            </w:r>
                            <w:r w:rsidRPr="004A3CDA">
                              <w:rPr>
                                <w:b/>
                                <w:color w:val="023E87"/>
                                <w:lang w:val="en-US"/>
                              </w:rPr>
                              <w:t>2</w:t>
                            </w:r>
                            <w:r w:rsidRPr="004A3CDA">
                              <w:rPr>
                                <w:b/>
                                <w:color w:val="023E87"/>
                              </w:rPr>
                              <w:t>0</w:t>
                            </w:r>
                            <w:r w:rsidRPr="004A3CDA">
                              <w:rPr>
                                <w:b/>
                                <w:color w:val="023E87"/>
                                <w:lang w:val="en-US"/>
                              </w:rPr>
                              <w:t>20</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68B7A" id="Group 15" o:spid="_x0000_s1041" style="position:absolute;left:0;text-align:left;margin-left:-88.85pt;margin-top:22.05pt;width:362.5pt;height:30.45pt;z-index:251697152" coordorigin="2176,16123" coordsize="719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">
              <v:shapetype id="_x0000_t202" coordsize="21600,21600" o:spt="202" path="m,l,21600r21600,l21600,xe">
                <v:stroke joinstyle="miter"/>
                <v:path gradientshapeok="t" o:connecttype="rect"/>
              </v:shapetype>
              <v:shape id="Text Box 13" o:spid="_x0000_s1042" type="#_x0000_t202" style="position:absolute;left:2176;top:16133;width:686;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" filled="f" stroked="f">
                <v:textbox inset=",,0">
                  <w:txbxContent>
                    <w:p w14:paraId="6D6493B5" w14:textId="3D5F9394" w:rsidR="00337141" w:rsidRPr="004A3CDA" w:rsidRDefault="00337141" w:rsidP="00C33762">
                      <w:pPr>
                        <w:jc w:val="right"/>
                        <w:rPr>
                          <w:b/>
                          <w:color w:val="023E87"/>
                        </w:rPr>
                      </w:pPr>
                      <w:r w:rsidRPr="004A3CDA">
                        <w:rPr>
                          <w:b/>
                          <w:color w:val="023E87"/>
                        </w:rPr>
                        <w:fldChar w:fldCharType="begin"/>
                      </w:r>
                      <w:r w:rsidRPr="004A3CDA">
                        <w:rPr>
                          <w:b/>
                          <w:color w:val="023E87"/>
                        </w:rPr>
                        <w:instrText xml:space="preserve"> PAGE   \* MERGEFORMAT </w:instrText>
                      </w:r>
                      <w:r w:rsidRPr="004A3CDA">
                        <w:rPr>
                          <w:b/>
                          <w:color w:val="023E87"/>
                        </w:rPr>
                        <w:fldChar w:fldCharType="separate"/>
                      </w:r>
                      <w:r w:rsidR="00B55F0A">
                        <w:rPr>
                          <w:b/>
                          <w:noProof/>
                          <w:color w:val="023E87"/>
                        </w:rPr>
                        <w:t>17</w:t>
                      </w:r>
                      <w:r w:rsidRPr="004A3CDA">
                        <w:rPr>
                          <w:b/>
                          <w:noProof/>
                          <w:color w:val="023E87"/>
                        </w:rPr>
                        <w:fldChar w:fldCharType="end"/>
                      </w:r>
                    </w:p>
                  </w:txbxContent>
                </v:textbox>
              </v:shape>
              <v:shape id="Text Box 14" o:spid="_x0000_s1043" type="#_x0000_t202" style="position:absolute;left:2944;top:16123;width:6428;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" filled="f" stroked="f">
                <v:textbox inset="0">
                  <w:txbxContent>
                    <w:p w14:paraId="3C705E39" w14:textId="77777777" w:rsidR="00337141" w:rsidRPr="004A3CDA" w:rsidRDefault="00337141">
                      <w:pPr>
                        <w:rPr>
                          <w:b/>
                          <w:color w:val="023E87"/>
                          <w:lang w:val="en-US"/>
                        </w:rPr>
                      </w:pPr>
                      <w:r w:rsidRPr="004A3CDA">
                        <w:rPr>
                          <w:b/>
                          <w:color w:val="023E87"/>
                        </w:rPr>
                        <w:t>|</w:t>
                      </w:r>
                      <w:r w:rsidRPr="004A3CDA">
                        <w:rPr>
                          <w:b/>
                          <w:color w:val="023E87"/>
                          <w:lang w:val="en-US"/>
                        </w:rPr>
                        <w:t xml:space="preserve"> </w:t>
                      </w:r>
                      <w:r>
                        <w:rPr>
                          <w:b/>
                          <w:color w:val="023E87"/>
                        </w:rPr>
                        <w:t>16</w:t>
                      </w:r>
                      <w:r w:rsidRPr="004A3CDA">
                        <w:rPr>
                          <w:b/>
                          <w:color w:val="023E87"/>
                        </w:rPr>
                        <w:t xml:space="preserve"> </w:t>
                      </w:r>
                      <w:r>
                        <w:rPr>
                          <w:b/>
                          <w:color w:val="023E87"/>
                        </w:rPr>
                        <w:t>Μαρτίου</w:t>
                      </w:r>
                      <w:r w:rsidRPr="004A3CDA">
                        <w:rPr>
                          <w:b/>
                          <w:color w:val="023E87"/>
                        </w:rPr>
                        <w:t xml:space="preserve"> </w:t>
                      </w:r>
                      <w:r w:rsidRPr="004A3CDA">
                        <w:rPr>
                          <w:b/>
                          <w:color w:val="023E87"/>
                          <w:lang w:val="en-US"/>
                        </w:rPr>
                        <w:t>2</w:t>
                      </w:r>
                      <w:r w:rsidRPr="004A3CDA">
                        <w:rPr>
                          <w:b/>
                          <w:color w:val="023E87"/>
                        </w:rPr>
                        <w:t>0</w:t>
                      </w:r>
                      <w:r w:rsidRPr="004A3CDA">
                        <w:rPr>
                          <w:b/>
                          <w:color w:val="023E87"/>
                          <w:lang w:val="en-US"/>
                        </w:rPr>
                        <w:t>20</w:t>
                      </w:r>
                    </w:p>
                  </w:txbxContent>
                </v:textbox>
              </v:shape>
            </v:group>
          </w:pict>
        </mc:Fallback>
      </mc:AlternateContent>
    </w:r>
    <w:r w:rsidRPr="00570C53">
      <w:rPr>
        <w:noProof/>
        <w:lang w:eastAsia="el-GR"/>
      </w:rPr>
      <w:drawing>
        <wp:anchor distT="0" distB="0" distL="114300" distR="114300" simplePos="0" relativeHeight="251715584" behindDoc="0" locked="0" layoutInCell="1" allowOverlap="1" wp14:anchorId="422E9D02" wp14:editId="114A290D">
          <wp:simplePos x="0" y="0"/>
          <wp:positionH relativeFrom="column">
            <wp:posOffset>4446905</wp:posOffset>
          </wp:positionH>
          <wp:positionV relativeFrom="paragraph">
            <wp:posOffset>133350</wp:posOffset>
          </wp:positionV>
          <wp:extent cx="791845" cy="334645"/>
          <wp:effectExtent l="0" t="0" r="8255" b="8255"/>
          <wp:wrapNone/>
          <wp:docPr id="21"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pak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3346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BC62" w14:textId="77777777" w:rsidR="00337141" w:rsidRDefault="00337141">
    <w:pPr>
      <w:pStyle w:val="Footer"/>
    </w:pPr>
    <w:r>
      <w:rPr>
        <w:noProof/>
        <w:lang w:eastAsia="el-GR"/>
      </w:rPr>
      <mc:AlternateContent>
        <mc:Choice Requires="wpg">
          <w:drawing>
            <wp:anchor distT="0" distB="0" distL="114300" distR="114300" simplePos="0" relativeHeight="251724800" behindDoc="0" locked="0" layoutInCell="1" allowOverlap="1" wp14:anchorId="64C5BD61" wp14:editId="10FF2FF9">
              <wp:simplePos x="0" y="0"/>
              <wp:positionH relativeFrom="column">
                <wp:posOffset>-1423670</wp:posOffset>
              </wp:positionH>
              <wp:positionV relativeFrom="paragraph">
                <wp:posOffset>215725</wp:posOffset>
              </wp:positionV>
              <wp:extent cx="4603750" cy="387281"/>
              <wp:effectExtent l="0" t="0" r="0" b="0"/>
              <wp:wrapNone/>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0" cy="387281"/>
                        <a:chOff x="2176" y="16123"/>
                        <a:chExt cx="7196" cy="541"/>
                      </a:xfrm>
                    </wpg:grpSpPr>
                    <wps:wsp>
                      <wps:cNvPr id="30" name="Text Box 13"/>
                      <wps:cNvSpPr txBox="1">
                        <a:spLocks noChangeArrowheads="1"/>
                      </wps:cNvSpPr>
                      <wps:spPr bwMode="auto">
                        <a:xfrm>
                          <a:off x="2176" y="16133"/>
                          <a:ext cx="686"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A74F" w14:textId="1EA0D701" w:rsidR="00337141" w:rsidRPr="004A3CDA" w:rsidRDefault="00337141" w:rsidP="004A3CDA">
                            <w:pPr>
                              <w:jc w:val="right"/>
                              <w:rPr>
                                <w:b/>
                                <w:color w:val="023E87"/>
                                <w:sz w:val="20"/>
                              </w:rPr>
                            </w:pPr>
                            <w:r w:rsidRPr="004A3CDA">
                              <w:rPr>
                                <w:b/>
                                <w:color w:val="023E87"/>
                                <w:sz w:val="20"/>
                              </w:rPr>
                              <w:fldChar w:fldCharType="begin"/>
                            </w:r>
                            <w:r w:rsidRPr="004A3CDA">
                              <w:rPr>
                                <w:b/>
                                <w:color w:val="023E87"/>
                                <w:sz w:val="20"/>
                              </w:rPr>
                              <w:instrText xml:space="preserve"> PAGE   \* MERGEFORMAT </w:instrText>
                            </w:r>
                            <w:r w:rsidRPr="004A3CDA">
                              <w:rPr>
                                <w:b/>
                                <w:color w:val="023E87"/>
                                <w:sz w:val="20"/>
                              </w:rPr>
                              <w:fldChar w:fldCharType="separate"/>
                            </w:r>
                            <w:r w:rsidR="00B55F0A">
                              <w:rPr>
                                <w:b/>
                                <w:noProof/>
                                <w:color w:val="023E87"/>
                                <w:sz w:val="20"/>
                              </w:rPr>
                              <w:t>1</w:t>
                            </w:r>
                            <w:r w:rsidRPr="004A3CDA">
                              <w:rPr>
                                <w:b/>
                                <w:noProof/>
                                <w:color w:val="023E87"/>
                                <w:sz w:val="20"/>
                              </w:rPr>
                              <w:fldChar w:fldCharType="end"/>
                            </w:r>
                          </w:p>
                        </w:txbxContent>
                      </wps:txbx>
                      <wps:bodyPr rot="0" vert="horz" wrap="square" lIns="91440" tIns="45720" rIns="0" bIns="45720" anchor="t" anchorCtr="0" upright="1">
                        <a:noAutofit/>
                      </wps:bodyPr>
                    </wps:wsp>
                    <wps:wsp>
                      <wps:cNvPr id="31" name="Text Box 14"/>
                      <wps:cNvSpPr txBox="1">
                        <a:spLocks noChangeArrowheads="1"/>
                      </wps:cNvSpPr>
                      <wps:spPr bwMode="auto">
                        <a:xfrm>
                          <a:off x="2944" y="16123"/>
                          <a:ext cx="642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A2B42" w14:textId="77777777" w:rsidR="00337141" w:rsidRPr="004A3CDA" w:rsidRDefault="00337141" w:rsidP="004A3CDA">
                            <w:pPr>
                              <w:rPr>
                                <w:b/>
                                <w:color w:val="023E87"/>
                                <w:sz w:val="20"/>
                                <w:lang w:val="en-US"/>
                              </w:rPr>
                            </w:pPr>
                            <w:r w:rsidRPr="004A3CDA">
                              <w:rPr>
                                <w:b/>
                                <w:color w:val="023E87"/>
                                <w:sz w:val="20"/>
                              </w:rPr>
                              <w:t>|</w:t>
                            </w:r>
                            <w:r w:rsidRPr="004A3CDA">
                              <w:rPr>
                                <w:b/>
                                <w:color w:val="023E87"/>
                                <w:sz w:val="20"/>
                                <w:lang w:val="en-US"/>
                              </w:rPr>
                              <w:t xml:space="preserve"> </w:t>
                            </w:r>
                            <w:r w:rsidRPr="004A3CDA">
                              <w:rPr>
                                <w:b/>
                                <w:color w:val="023E87"/>
                                <w:sz w:val="20"/>
                              </w:rPr>
                              <w:t xml:space="preserve">16 Μαρτίου </w:t>
                            </w:r>
                            <w:r w:rsidRPr="004A3CDA">
                              <w:rPr>
                                <w:b/>
                                <w:color w:val="023E87"/>
                                <w:sz w:val="20"/>
                                <w:lang w:val="en-US"/>
                              </w:rPr>
                              <w:t>2</w:t>
                            </w:r>
                            <w:r w:rsidRPr="004A3CDA">
                              <w:rPr>
                                <w:b/>
                                <w:color w:val="023E87"/>
                                <w:sz w:val="20"/>
                              </w:rPr>
                              <w:t>0</w:t>
                            </w:r>
                            <w:r w:rsidRPr="004A3CDA">
                              <w:rPr>
                                <w:b/>
                                <w:color w:val="023E87"/>
                                <w:sz w:val="20"/>
                                <w:lang w:val="en-US"/>
                              </w:rPr>
                              <w:t>20</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5BD61" id="_x0000_s1047" style="position:absolute;margin-left:-112.1pt;margin-top:17pt;width:362.5pt;height:30.5pt;z-index:251724800" coordorigin="2176,16123" coordsize="719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">
              <v:shapetype id="_x0000_t202" coordsize="21600,21600" o:spt="202" path="m,l,21600r21600,l21600,xe">
                <v:stroke joinstyle="miter"/>
                <v:path gradientshapeok="t" o:connecttype="rect"/>
              </v:shapetype>
              <v:shape id="Text Box 13" o:spid="_x0000_s1048" type="#_x0000_t202" style="position:absolute;left:2176;top:16133;width:686;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" filled="f" stroked="f">
                <v:textbox inset=",,0">
                  <w:txbxContent>
                    <w:p w14:paraId="4203A74F" w14:textId="1EA0D701" w:rsidR="00337141" w:rsidRPr="004A3CDA" w:rsidRDefault="00337141" w:rsidP="004A3CDA">
                      <w:pPr>
                        <w:jc w:val="right"/>
                        <w:rPr>
                          <w:b/>
                          <w:color w:val="023E87"/>
                          <w:sz w:val="20"/>
                        </w:rPr>
                      </w:pPr>
                      <w:r w:rsidRPr="004A3CDA">
                        <w:rPr>
                          <w:b/>
                          <w:color w:val="023E87"/>
                          <w:sz w:val="20"/>
                        </w:rPr>
                        <w:fldChar w:fldCharType="begin"/>
                      </w:r>
                      <w:r w:rsidRPr="004A3CDA">
                        <w:rPr>
                          <w:b/>
                          <w:color w:val="023E87"/>
                          <w:sz w:val="20"/>
                        </w:rPr>
                        <w:instrText xml:space="preserve"> PAGE   \* MERGEFORMAT </w:instrText>
                      </w:r>
                      <w:r w:rsidRPr="004A3CDA">
                        <w:rPr>
                          <w:b/>
                          <w:color w:val="023E87"/>
                          <w:sz w:val="20"/>
                        </w:rPr>
                        <w:fldChar w:fldCharType="separate"/>
                      </w:r>
                      <w:r w:rsidR="00B55F0A">
                        <w:rPr>
                          <w:b/>
                          <w:noProof/>
                          <w:color w:val="023E87"/>
                          <w:sz w:val="20"/>
                        </w:rPr>
                        <w:t>1</w:t>
                      </w:r>
                      <w:r w:rsidRPr="004A3CDA">
                        <w:rPr>
                          <w:b/>
                          <w:noProof/>
                          <w:color w:val="023E87"/>
                          <w:sz w:val="20"/>
                        </w:rPr>
                        <w:fldChar w:fldCharType="end"/>
                      </w:r>
                    </w:p>
                  </w:txbxContent>
                </v:textbox>
              </v:shape>
              <v:shape id="Text Box 14" o:spid="_x0000_s1049" type="#_x0000_t202" style="position:absolute;left:2944;top:16123;width:6428;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" filled="f" stroked="f">
                <v:textbox inset="0">
                  <w:txbxContent>
                    <w:p w14:paraId="3AEA2B42" w14:textId="77777777" w:rsidR="00337141" w:rsidRPr="004A3CDA" w:rsidRDefault="00337141" w:rsidP="004A3CDA">
                      <w:pPr>
                        <w:rPr>
                          <w:b/>
                          <w:color w:val="023E87"/>
                          <w:sz w:val="20"/>
                          <w:lang w:val="en-US"/>
                        </w:rPr>
                      </w:pPr>
                      <w:r w:rsidRPr="004A3CDA">
                        <w:rPr>
                          <w:b/>
                          <w:color w:val="023E87"/>
                          <w:sz w:val="20"/>
                        </w:rPr>
                        <w:t>|</w:t>
                      </w:r>
                      <w:r w:rsidRPr="004A3CDA">
                        <w:rPr>
                          <w:b/>
                          <w:color w:val="023E87"/>
                          <w:sz w:val="20"/>
                          <w:lang w:val="en-US"/>
                        </w:rPr>
                        <w:t xml:space="preserve"> </w:t>
                      </w:r>
                      <w:r w:rsidRPr="004A3CDA">
                        <w:rPr>
                          <w:b/>
                          <w:color w:val="023E87"/>
                          <w:sz w:val="20"/>
                        </w:rPr>
                        <w:t xml:space="preserve">16 Μαρτίου </w:t>
                      </w:r>
                      <w:r w:rsidRPr="004A3CDA">
                        <w:rPr>
                          <w:b/>
                          <w:color w:val="023E87"/>
                          <w:sz w:val="20"/>
                          <w:lang w:val="en-US"/>
                        </w:rPr>
                        <w:t>2</w:t>
                      </w:r>
                      <w:r w:rsidRPr="004A3CDA">
                        <w:rPr>
                          <w:b/>
                          <w:color w:val="023E87"/>
                          <w:sz w:val="20"/>
                        </w:rPr>
                        <w:t>0</w:t>
                      </w:r>
                      <w:r w:rsidRPr="004A3CDA">
                        <w:rPr>
                          <w:b/>
                          <w:color w:val="023E87"/>
                          <w:sz w:val="20"/>
                          <w:lang w:val="en-US"/>
                        </w:rPr>
                        <w:t>20</w:t>
                      </w:r>
                    </w:p>
                  </w:txbxContent>
                </v:textbox>
              </v:shape>
            </v:group>
          </w:pict>
        </mc:Fallback>
      </mc:AlternateContent>
    </w:r>
    <w:r>
      <w:rPr>
        <w:noProof/>
        <w:lang w:eastAsia="el-GR"/>
      </w:rPr>
      <w:drawing>
        <wp:anchor distT="0" distB="0" distL="114300" distR="114300" simplePos="0" relativeHeight="251707392" behindDoc="0" locked="0" layoutInCell="1" allowOverlap="1" wp14:anchorId="28E00EFE" wp14:editId="36ABEE35">
          <wp:simplePos x="0" y="0"/>
          <wp:positionH relativeFrom="column">
            <wp:posOffset>4442460</wp:posOffset>
          </wp:positionH>
          <wp:positionV relativeFrom="paragraph">
            <wp:posOffset>114300</wp:posOffset>
          </wp:positionV>
          <wp:extent cx="791845" cy="334645"/>
          <wp:effectExtent l="0" t="0" r="8255" b="8255"/>
          <wp:wrapNone/>
          <wp:docPr id="25"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pak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334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17EF4" w14:textId="77777777" w:rsidR="00337141" w:rsidRDefault="00337141" w:rsidP="00A14E18">
      <w:pPr>
        <w:spacing w:after="0" w:line="240" w:lineRule="auto"/>
      </w:pPr>
      <w:r>
        <w:separator/>
      </w:r>
    </w:p>
  </w:footnote>
  <w:footnote w:type="continuationSeparator" w:id="0">
    <w:p w14:paraId="607AF4F0" w14:textId="77777777" w:rsidR="00337141" w:rsidRDefault="00337141" w:rsidP="00A14E18">
      <w:pPr>
        <w:spacing w:after="0" w:line="240" w:lineRule="auto"/>
      </w:pPr>
      <w:r>
        <w:continuationSeparator/>
      </w:r>
    </w:p>
  </w:footnote>
  <w:footnote w:type="continuationNotice" w:id="1">
    <w:p w14:paraId="51D5CD2A" w14:textId="77777777" w:rsidR="00337141" w:rsidRDefault="00337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BD3B" w14:textId="77777777" w:rsidR="00337141" w:rsidRPr="00910B3C" w:rsidRDefault="00337141" w:rsidP="00B23C31">
    <w:pPr>
      <w:pStyle w:val="Header"/>
      <w:ind w:right="-285"/>
      <w:rPr>
        <w:b/>
        <w:lang w:val="en-US"/>
      </w:rPr>
    </w:pPr>
    <w:r>
      <w:rPr>
        <w:b/>
        <w:i/>
        <w:noProof/>
        <w:color w:val="FF0000"/>
        <w:sz w:val="24"/>
        <w:szCs w:val="24"/>
        <w:u w:val="single"/>
        <w:lang w:eastAsia="el-GR"/>
      </w:rPr>
      <mc:AlternateContent>
        <mc:Choice Requires="wpg">
          <w:drawing>
            <wp:anchor distT="0" distB="0" distL="114300" distR="114300" simplePos="0" relativeHeight="251719680" behindDoc="1" locked="0" layoutInCell="1" allowOverlap="1" wp14:anchorId="0DF61206" wp14:editId="341E2BA3">
              <wp:simplePos x="0" y="0"/>
              <wp:positionH relativeFrom="column">
                <wp:posOffset>4062730</wp:posOffset>
              </wp:positionH>
              <wp:positionV relativeFrom="paragraph">
                <wp:posOffset>-180975</wp:posOffset>
              </wp:positionV>
              <wp:extent cx="1162685" cy="1003300"/>
              <wp:effectExtent l="0" t="0" r="0" b="6350"/>
              <wp:wrapTight wrapText="bothSides">
                <wp:wrapPolygon edited="0">
                  <wp:start x="354" y="0"/>
                  <wp:lineTo x="354" y="21327"/>
                  <wp:lineTo x="20526" y="21327"/>
                  <wp:lineTo x="20526" y="0"/>
                  <wp:lineTo x="354"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1003300"/>
                        <a:chOff x="-667" y="0"/>
                        <a:chExt cx="11640" cy="10039"/>
                      </a:xfrm>
                    </wpg:grpSpPr>
                    <pic:pic xmlns:pic="http://schemas.openxmlformats.org/drawingml/2006/picture">
                      <pic:nvPicPr>
                        <pic:cNvPr id="5" name="Picture 5" descr="tetragon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 cy="10039"/>
                        </a:xfrm>
                        <a:prstGeom prst="rect">
                          <a:avLst/>
                        </a:prstGeom>
                        <a:noFill/>
                        <a:extLst>
                          <a:ext uri="{909E8E84-426E-40DD-AFC4-6F175D3DCCD1}">
                            <a14:hiddenFill xmlns:a14="http://schemas.microsoft.com/office/drawing/2010/main">
                              <a:solidFill>
                                <a:srgbClr val="FFFFFF"/>
                              </a:solidFill>
                            </a14:hiddenFill>
                          </a:ext>
                        </a:extLst>
                      </pic:spPr>
                    </pic:pic>
                    <wps:wsp>
                      <wps:cNvPr id="11" name="Τίτλος 9"/>
                      <wps:cNvSpPr txBox="1">
                        <a:spLocks/>
                      </wps:cNvSpPr>
                      <wps:spPr bwMode="auto">
                        <a:xfrm>
                          <a:off x="-667" y="1430"/>
                          <a:ext cx="11640" cy="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CDFA" w14:textId="77777777" w:rsidR="00337141" w:rsidRPr="004A3CDA" w:rsidRDefault="00337141" w:rsidP="00AC21E2">
                            <w:pPr>
                              <w:pStyle w:val="NormalWeb"/>
                              <w:spacing w:after="0"/>
                              <w:jc w:val="center"/>
                              <w:rPr>
                                <w:sz w:val="21"/>
                                <w:szCs w:val="21"/>
                              </w:rPr>
                            </w:pPr>
                            <w:r w:rsidRPr="004A3CDA">
                              <w:rPr>
                                <w:rFonts w:asciiTheme="minorHAnsi" w:hAnsi="Calibri" w:cstheme="minorBidi"/>
                                <w:bCs/>
                                <w:color w:val="FFFFFF" w:themeColor="background1"/>
                                <w:kern w:val="24"/>
                                <w:sz w:val="21"/>
                                <w:szCs w:val="21"/>
                                <w:lang w:val="en-US"/>
                              </w:rPr>
                              <w:t xml:space="preserve">ΑΠΟΤΕΛΕΣΜΑΤΑ </w:t>
                            </w:r>
                            <w:r w:rsidRPr="004A3CDA">
                              <w:rPr>
                                <w:rFonts w:asciiTheme="minorHAnsi" w:hAnsi="Calibri" w:cstheme="minorBidi"/>
                                <w:bCs/>
                                <w:color w:val="FFFFFF" w:themeColor="background1"/>
                                <w:kern w:val="24"/>
                                <w:sz w:val="21"/>
                                <w:szCs w:val="21"/>
                              </w:rPr>
                              <w:t xml:space="preserve">         </w:t>
                            </w:r>
                            <w:r w:rsidRPr="004A3CDA">
                              <w:rPr>
                                <w:rFonts w:asciiTheme="minorHAnsi" w:hAnsi="Calibri" w:cstheme="minorBidi"/>
                                <w:bCs/>
                                <w:color w:val="FFFFFF" w:themeColor="background1"/>
                                <w:kern w:val="24"/>
                                <w:sz w:val="21"/>
                                <w:szCs w:val="21"/>
                                <w:lang w:val="en-US"/>
                              </w:rPr>
                              <w:t>2020</w:t>
                            </w:r>
                            <w:r w:rsidRPr="004A3CDA">
                              <w:rPr>
                                <w:rFonts w:asciiTheme="minorHAnsi" w:hAnsi="Calibri" w:cstheme="minorBidi"/>
                                <w:bCs/>
                                <w:color w:val="FFFFFF" w:themeColor="background1"/>
                                <w:kern w:val="24"/>
                                <w:sz w:val="21"/>
                                <w:szCs w:val="21"/>
                              </w:rPr>
                              <w:t xml:space="preserve"> &amp; ΣΤΡΑΤΗΓΙΚΟΣ ΣΧΕ</w:t>
                            </w:r>
                            <w:r>
                              <w:rPr>
                                <w:rFonts w:asciiTheme="minorHAnsi" w:hAnsi="Calibri" w:cstheme="minorBidi"/>
                                <w:bCs/>
                                <w:color w:val="FFFFFF" w:themeColor="background1"/>
                                <w:kern w:val="24"/>
                                <w:sz w:val="21"/>
                                <w:szCs w:val="21"/>
                              </w:rPr>
                              <w:t>Δ</w:t>
                            </w:r>
                            <w:r w:rsidRPr="004A3CDA">
                              <w:rPr>
                                <w:rFonts w:asciiTheme="minorHAnsi" w:hAnsi="Calibri" w:cstheme="minorBidi"/>
                                <w:bCs/>
                                <w:color w:val="FFFFFF" w:themeColor="background1"/>
                                <w:kern w:val="24"/>
                                <w:sz w:val="21"/>
                                <w:szCs w:val="21"/>
                              </w:rPr>
                              <w:t>ΙΑΣΜΟΣ</w:t>
                            </w:r>
                          </w:p>
                        </w:txbxContent>
                      </wps:txbx>
                      <wps:bodyPr rot="0" vert="horz" wrap="square" lIns="73655" tIns="36828" rIns="73655" bIns="36828"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F61206" id="Group 5" o:spid="_x0000_s1038" style="position:absolute;margin-left:319.9pt;margin-top:-14.25pt;width:91.55pt;height:79pt;z-index:-251596800;mso-width-relative:margin;mso-height-relative:margin" coordorigin="-667" coordsize="11640,10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alt="tetragono.png" style="position:absolute;width:10160;height:10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">
                <v:imagedata r:id="rId2" o:title="tetragono"/>
                <v:path arrowok="t"/>
              </v:shape>
              <v:shapetype id="_x0000_t202" coordsize="21600,21600" o:spt="202" path="m,l,21600r21600,l21600,xe">
                <v:stroke joinstyle="miter"/>
                <v:path gradientshapeok="t" o:connecttype="rect"/>
              </v:shapetype>
              <v:shape id="Τίτλος 9" o:spid="_x0000_s1040" type="#_x0000_t202" style="position:absolute;left:-667;top:1430;width:1164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" filled="f" stroked="f">
                <v:path arrowok="t"/>
                <v:textbox inset="2.04597mm,1.023mm,2.04597mm,1.023mm">
                  <w:txbxContent>
                    <w:p w14:paraId="2563CDFA" w14:textId="77777777" w:rsidR="00337141" w:rsidRPr="004A3CDA" w:rsidRDefault="00337141" w:rsidP="00AC21E2">
                      <w:pPr>
                        <w:pStyle w:val="NormalWeb"/>
                        <w:spacing w:after="0"/>
                        <w:jc w:val="center"/>
                        <w:rPr>
                          <w:sz w:val="21"/>
                          <w:szCs w:val="21"/>
                        </w:rPr>
                      </w:pPr>
                      <w:r w:rsidRPr="004A3CDA">
                        <w:rPr>
                          <w:rFonts w:asciiTheme="minorHAnsi" w:hAnsi="Calibri" w:cstheme="minorBidi"/>
                          <w:bCs/>
                          <w:color w:val="FFFFFF" w:themeColor="background1"/>
                          <w:kern w:val="24"/>
                          <w:sz w:val="21"/>
                          <w:szCs w:val="21"/>
                          <w:lang w:val="en-US"/>
                        </w:rPr>
                        <w:t xml:space="preserve">ΑΠΟΤΕΛΕΣΜΑΤΑ </w:t>
                      </w:r>
                      <w:r w:rsidRPr="004A3CDA">
                        <w:rPr>
                          <w:rFonts w:asciiTheme="minorHAnsi" w:hAnsi="Calibri" w:cstheme="minorBidi"/>
                          <w:bCs/>
                          <w:color w:val="FFFFFF" w:themeColor="background1"/>
                          <w:kern w:val="24"/>
                          <w:sz w:val="21"/>
                          <w:szCs w:val="21"/>
                        </w:rPr>
                        <w:t xml:space="preserve">         </w:t>
                      </w:r>
                      <w:r w:rsidRPr="004A3CDA">
                        <w:rPr>
                          <w:rFonts w:asciiTheme="minorHAnsi" w:hAnsi="Calibri" w:cstheme="minorBidi"/>
                          <w:bCs/>
                          <w:color w:val="FFFFFF" w:themeColor="background1"/>
                          <w:kern w:val="24"/>
                          <w:sz w:val="21"/>
                          <w:szCs w:val="21"/>
                          <w:lang w:val="en-US"/>
                        </w:rPr>
                        <w:t>2020</w:t>
                      </w:r>
                      <w:r w:rsidRPr="004A3CDA">
                        <w:rPr>
                          <w:rFonts w:asciiTheme="minorHAnsi" w:hAnsi="Calibri" w:cstheme="minorBidi"/>
                          <w:bCs/>
                          <w:color w:val="FFFFFF" w:themeColor="background1"/>
                          <w:kern w:val="24"/>
                          <w:sz w:val="21"/>
                          <w:szCs w:val="21"/>
                        </w:rPr>
                        <w:t xml:space="preserve"> &amp; ΣΤΡΑΤΗΓΙΚΟΣ ΣΧΕ</w:t>
                      </w:r>
                      <w:r>
                        <w:rPr>
                          <w:rFonts w:asciiTheme="minorHAnsi" w:hAnsi="Calibri" w:cstheme="minorBidi"/>
                          <w:bCs/>
                          <w:color w:val="FFFFFF" w:themeColor="background1"/>
                          <w:kern w:val="24"/>
                          <w:sz w:val="21"/>
                          <w:szCs w:val="21"/>
                        </w:rPr>
                        <w:t>Δ</w:t>
                      </w:r>
                      <w:r w:rsidRPr="004A3CDA">
                        <w:rPr>
                          <w:rFonts w:asciiTheme="minorHAnsi" w:hAnsi="Calibri" w:cstheme="minorBidi"/>
                          <w:bCs/>
                          <w:color w:val="FFFFFF" w:themeColor="background1"/>
                          <w:kern w:val="24"/>
                          <w:sz w:val="21"/>
                          <w:szCs w:val="21"/>
                        </w:rPr>
                        <w:t>ΙΑΣΜΟΣ</w:t>
                      </w:r>
                    </w:p>
                  </w:txbxContent>
                </v:textbox>
              </v:shape>
              <w10:wrap type="tight"/>
            </v:group>
          </w:pict>
        </mc:Fallback>
      </mc:AlternateContent>
    </w:r>
    <w:r w:rsidRPr="00427967">
      <w:rPr>
        <w:b/>
        <w:i/>
        <w:noProof/>
        <w:color w:val="FF0000"/>
        <w:sz w:val="24"/>
        <w:szCs w:val="24"/>
        <w:u w:val="single"/>
        <w:lang w:eastAsia="el-GR"/>
      </w:rPr>
      <w:drawing>
        <wp:anchor distT="0" distB="0" distL="114300" distR="114300" simplePos="0" relativeHeight="251726848" behindDoc="0" locked="0" layoutInCell="1" allowOverlap="1" wp14:anchorId="047CD7EF" wp14:editId="4474A123">
          <wp:simplePos x="0" y="0"/>
          <wp:positionH relativeFrom="column">
            <wp:posOffset>-1895475</wp:posOffset>
          </wp:positionH>
          <wp:positionV relativeFrom="paragraph">
            <wp:posOffset>-40640</wp:posOffset>
          </wp:positionV>
          <wp:extent cx="2228850" cy="678815"/>
          <wp:effectExtent l="0" t="0" r="0" b="6985"/>
          <wp:wrapSquare wrapText="bothSides"/>
          <wp:docPr id="18" name="Picture 68" descr="K:\LYRA\PB_FINANCIAL_HOLDINGS_LOGO_GR-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YRA\PB_FINANCIAL_HOLDINGS_LOGO_GR-whit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28850" cy="678815"/>
                  </a:xfrm>
                  <a:prstGeom prst="rect">
                    <a:avLst/>
                  </a:prstGeom>
                  <a:noFill/>
                  <a:ln>
                    <a:noFill/>
                  </a:ln>
                </pic:spPr>
              </pic:pic>
            </a:graphicData>
          </a:graphic>
        </wp:anchor>
      </w:drawing>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8F47" w14:textId="77777777" w:rsidR="00337141" w:rsidRPr="00910B3C" w:rsidRDefault="00337141" w:rsidP="00910B3C">
    <w:pPr>
      <w:pStyle w:val="Header"/>
      <w:tabs>
        <w:tab w:val="left" w:pos="1843"/>
      </w:tabs>
      <w:ind w:right="-427"/>
      <w:rPr>
        <w:b/>
        <w:i/>
        <w:color w:val="FF0000"/>
        <w:sz w:val="24"/>
        <w:szCs w:val="24"/>
        <w:highlight w:val="yellow"/>
        <w:u w:val="single"/>
        <w:lang w:val="en-US"/>
      </w:rPr>
    </w:pPr>
    <w:r>
      <w:rPr>
        <w:b/>
        <w:i/>
        <w:noProof/>
        <w:color w:val="FF0000"/>
        <w:sz w:val="24"/>
        <w:szCs w:val="24"/>
        <w:u w:val="single"/>
        <w:lang w:eastAsia="el-GR"/>
      </w:rPr>
      <mc:AlternateContent>
        <mc:Choice Requires="wpg">
          <w:drawing>
            <wp:anchor distT="0" distB="0" distL="114300" distR="114300" simplePos="0" relativeHeight="251717632" behindDoc="1" locked="0" layoutInCell="1" allowOverlap="1" wp14:anchorId="65158A99" wp14:editId="2338FB50">
              <wp:simplePos x="0" y="0"/>
              <wp:positionH relativeFrom="column">
                <wp:posOffset>3993515</wp:posOffset>
              </wp:positionH>
              <wp:positionV relativeFrom="paragraph">
                <wp:posOffset>-314960</wp:posOffset>
              </wp:positionV>
              <wp:extent cx="1123315" cy="1003935"/>
              <wp:effectExtent l="0" t="0" r="0" b="5715"/>
              <wp:wrapTight wrapText="bothSides">
                <wp:wrapPolygon edited="0">
                  <wp:start x="0" y="0"/>
                  <wp:lineTo x="0" y="21313"/>
                  <wp:lineTo x="20880" y="21313"/>
                  <wp:lineTo x="20880" y="0"/>
                  <wp:lineTo x="0" y="0"/>
                </wp:wrapPolygon>
              </wp:wrapTight>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1003935"/>
                        <a:chOff x="-477" y="0"/>
                        <a:chExt cx="11253" cy="10039"/>
                      </a:xfrm>
                    </wpg:grpSpPr>
                    <pic:pic xmlns:pic="http://schemas.openxmlformats.org/drawingml/2006/picture">
                      <pic:nvPicPr>
                        <pic:cNvPr id="2" name="Picture 5" descr="tetragon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 cy="10039"/>
                        </a:xfrm>
                        <a:prstGeom prst="rect">
                          <a:avLst/>
                        </a:prstGeom>
                        <a:noFill/>
                        <a:extLst>
                          <a:ext uri="{909E8E84-426E-40DD-AFC4-6F175D3DCCD1}">
                            <a14:hiddenFill xmlns:a14="http://schemas.microsoft.com/office/drawing/2010/main">
                              <a:solidFill>
                                <a:srgbClr val="FFFFFF"/>
                              </a:solidFill>
                            </a14:hiddenFill>
                          </a:ext>
                        </a:extLst>
                      </pic:spPr>
                    </pic:pic>
                    <wps:wsp>
                      <wps:cNvPr id="3" name="Τίτλος 9"/>
                      <wps:cNvSpPr txBox="1">
                        <a:spLocks/>
                      </wps:cNvSpPr>
                      <wps:spPr bwMode="auto">
                        <a:xfrm>
                          <a:off x="-477" y="1280"/>
                          <a:ext cx="11253" cy="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B7A4" w14:textId="77777777" w:rsidR="00337141" w:rsidRPr="004A3CDA" w:rsidRDefault="00337141" w:rsidP="00AC21E2">
                            <w:pPr>
                              <w:pStyle w:val="NormalWeb"/>
                              <w:spacing w:before="0" w:beforeAutospacing="0" w:after="0" w:afterAutospacing="0"/>
                              <w:jc w:val="center"/>
                              <w:rPr>
                                <w:rFonts w:asciiTheme="minorHAnsi" w:hAnsi="Calibri" w:cstheme="minorBidi"/>
                                <w:bCs/>
                                <w:color w:val="FFFFFF" w:themeColor="background1"/>
                                <w:kern w:val="24"/>
                                <w:sz w:val="21"/>
                                <w:szCs w:val="21"/>
                              </w:rPr>
                            </w:pPr>
                            <w:r w:rsidRPr="004A3CDA">
                              <w:rPr>
                                <w:rFonts w:ascii="Calibri" w:hAnsi="Calibri" w:cstheme="minorBidi"/>
                                <w:bCs/>
                                <w:color w:val="FFFFFF" w:themeColor="background1"/>
                                <w:spacing w:val="-2"/>
                                <w:kern w:val="24"/>
                                <w:sz w:val="21"/>
                                <w:szCs w:val="21"/>
                              </w:rPr>
                              <w:t>ΑΠΟΤΕΛΕΣΜΑΤΑ</w:t>
                            </w:r>
                            <w:r w:rsidRPr="004A3CDA">
                              <w:rPr>
                                <w:rFonts w:asciiTheme="minorHAnsi" w:hAnsi="Calibri" w:cstheme="minorBidi"/>
                                <w:bCs/>
                                <w:color w:val="FFFFFF" w:themeColor="background1"/>
                                <w:kern w:val="24"/>
                                <w:sz w:val="21"/>
                                <w:szCs w:val="21"/>
                              </w:rPr>
                              <w:t xml:space="preserve"> </w:t>
                            </w:r>
                          </w:p>
                          <w:p w14:paraId="55A0E771" w14:textId="77777777" w:rsidR="00337141" w:rsidRPr="004A3CDA" w:rsidRDefault="00337141" w:rsidP="00AC21E2">
                            <w:pPr>
                              <w:pStyle w:val="NormalWeb"/>
                              <w:spacing w:before="0" w:beforeAutospacing="0" w:after="0" w:afterAutospacing="0"/>
                              <w:jc w:val="center"/>
                            </w:pPr>
                            <w:r w:rsidRPr="004A3CDA">
                              <w:rPr>
                                <w:rFonts w:asciiTheme="minorHAnsi" w:hAnsi="Calibri" w:cstheme="minorBidi"/>
                                <w:bCs/>
                                <w:color w:val="FFFFFF" w:themeColor="background1"/>
                                <w:kern w:val="24"/>
                                <w:sz w:val="21"/>
                                <w:szCs w:val="21"/>
                              </w:rPr>
                              <w:t>2020 &amp; ΣΤΡΑΤΗΓΙΚΟΣ ΣΧΕΔΙΑΣΜΟΣ</w:t>
                            </w:r>
                          </w:p>
                        </w:txbxContent>
                      </wps:txbx>
                      <wps:bodyPr rot="0" vert="horz" wrap="square" lIns="73655" tIns="36828" rIns="73655" bIns="36828"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158A99" id="Group 4" o:spid="_x0000_s1044" style="position:absolute;margin-left:314.45pt;margin-top:-24.8pt;width:88.45pt;height:79.05pt;z-index:-251598848;mso-width-relative:margin;mso-height-relative:margin" coordorigin="-477" coordsize="11253,10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5" type="#_x0000_t75" alt="tetragono.png" style="position:absolute;width:10160;height:10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">
                <v:imagedata r:id="rId2" o:title="tetragono"/>
                <v:path arrowok="t"/>
              </v:shape>
              <v:shapetype id="_x0000_t202" coordsize="21600,21600" o:spt="202" path="m,l,21600r21600,l21600,xe">
                <v:stroke joinstyle="miter"/>
                <v:path gradientshapeok="t" o:connecttype="rect"/>
              </v:shapetype>
              <v:shape id="Τίτλος 9" o:spid="_x0000_s1046" type="#_x0000_t202" style="position:absolute;left:-477;top:1280;width:11253;height: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" filled="f" stroked="f">
                <v:path arrowok="t"/>
                <v:textbox inset="2.04597mm,1.023mm,2.04597mm,1.023mm">
                  <w:txbxContent>
                    <w:p w14:paraId="2C5BB7A4" w14:textId="77777777" w:rsidR="00337141" w:rsidRPr="004A3CDA" w:rsidRDefault="00337141" w:rsidP="00AC21E2">
                      <w:pPr>
                        <w:pStyle w:val="NormalWeb"/>
                        <w:spacing w:before="0" w:beforeAutospacing="0" w:after="0" w:afterAutospacing="0"/>
                        <w:jc w:val="center"/>
                        <w:rPr>
                          <w:rFonts w:asciiTheme="minorHAnsi" w:hAnsi="Calibri" w:cstheme="minorBidi"/>
                          <w:bCs/>
                          <w:color w:val="FFFFFF" w:themeColor="background1"/>
                          <w:kern w:val="24"/>
                          <w:sz w:val="21"/>
                          <w:szCs w:val="21"/>
                        </w:rPr>
                      </w:pPr>
                      <w:r w:rsidRPr="004A3CDA">
                        <w:rPr>
                          <w:rFonts w:ascii="Calibri" w:hAnsi="Calibri" w:cstheme="minorBidi"/>
                          <w:bCs/>
                          <w:color w:val="FFFFFF" w:themeColor="background1"/>
                          <w:spacing w:val="-2"/>
                          <w:kern w:val="24"/>
                          <w:sz w:val="21"/>
                          <w:szCs w:val="21"/>
                        </w:rPr>
                        <w:t>ΑΠΟΤΕΛΕΣΜΑΤΑ</w:t>
                      </w:r>
                      <w:r w:rsidRPr="004A3CDA">
                        <w:rPr>
                          <w:rFonts w:asciiTheme="minorHAnsi" w:hAnsi="Calibri" w:cstheme="minorBidi"/>
                          <w:bCs/>
                          <w:color w:val="FFFFFF" w:themeColor="background1"/>
                          <w:kern w:val="24"/>
                          <w:sz w:val="21"/>
                          <w:szCs w:val="21"/>
                        </w:rPr>
                        <w:t xml:space="preserve"> </w:t>
                      </w:r>
                    </w:p>
                    <w:p w14:paraId="55A0E771" w14:textId="77777777" w:rsidR="00337141" w:rsidRPr="004A3CDA" w:rsidRDefault="00337141" w:rsidP="00AC21E2">
                      <w:pPr>
                        <w:pStyle w:val="NormalWeb"/>
                        <w:spacing w:before="0" w:beforeAutospacing="0" w:after="0" w:afterAutospacing="0"/>
                        <w:jc w:val="center"/>
                      </w:pPr>
                      <w:r w:rsidRPr="004A3CDA">
                        <w:rPr>
                          <w:rFonts w:asciiTheme="minorHAnsi" w:hAnsi="Calibri" w:cstheme="minorBidi"/>
                          <w:bCs/>
                          <w:color w:val="FFFFFF" w:themeColor="background1"/>
                          <w:kern w:val="24"/>
                          <w:sz w:val="21"/>
                          <w:szCs w:val="21"/>
                        </w:rPr>
                        <w:t>2020 &amp; ΣΤΡΑΤΗΓΙΚΟΣ ΣΧΕΔΙΑΣΜΟΣ</w:t>
                      </w:r>
                    </w:p>
                  </w:txbxContent>
                </v:textbox>
              </v:shape>
              <w10:wrap type="tight"/>
            </v:group>
          </w:pict>
        </mc:Fallback>
      </mc:AlternateContent>
    </w:r>
    <w:r w:rsidRPr="00427967">
      <w:rPr>
        <w:b/>
        <w:i/>
        <w:noProof/>
        <w:color w:val="FF0000"/>
        <w:sz w:val="24"/>
        <w:szCs w:val="24"/>
        <w:u w:val="single"/>
        <w:lang w:eastAsia="el-GR"/>
      </w:rPr>
      <w:drawing>
        <wp:anchor distT="0" distB="0" distL="114300" distR="114300" simplePos="0" relativeHeight="251722752" behindDoc="0" locked="0" layoutInCell="1" allowOverlap="1" wp14:anchorId="035D2FCC" wp14:editId="28FF49FA">
          <wp:simplePos x="0" y="0"/>
          <wp:positionH relativeFrom="column">
            <wp:posOffset>-1880870</wp:posOffset>
          </wp:positionH>
          <wp:positionV relativeFrom="paragraph">
            <wp:posOffset>-167051</wp:posOffset>
          </wp:positionV>
          <wp:extent cx="2228850" cy="678815"/>
          <wp:effectExtent l="0" t="0" r="0" b="6985"/>
          <wp:wrapSquare wrapText="bothSides"/>
          <wp:docPr id="24" name="Picture 70" descr="K:\LYRA\PB_FINANCIAL_HOLDINGS_LOGO_GR-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YRA\PB_FINANCIAL_HOLDINGS_LOGO_GR-whit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28850" cy="678815"/>
                  </a:xfrm>
                  <a:prstGeom prst="rect">
                    <a:avLst/>
                  </a:prstGeom>
                  <a:noFill/>
                  <a:ln>
                    <a:noFill/>
                  </a:ln>
                </pic:spPr>
              </pic:pic>
            </a:graphicData>
          </a:graphic>
        </wp:anchor>
      </w:drawing>
    </w:r>
  </w:p>
  <w:p w14:paraId="68168BD4" w14:textId="77777777" w:rsidR="00337141" w:rsidRDefault="00337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23.25pt" o:bullet="t">
        <v:imagedata r:id="rId1" o:title="BulletTick"/>
      </v:shape>
    </w:pict>
  </w:numPicBullet>
  <w:numPicBullet w:numPicBulletId="1">
    <w:pict>
      <v:shape id="_x0000_i1030" type="#_x0000_t75" style="width:17.25pt;height:17.25pt;visibility:visible;mso-wrap-style:square" o:bullet="t">
        <v:imagedata r:id="rId2" o:title=""/>
      </v:shape>
    </w:pict>
  </w:numPicBullet>
  <w:numPicBullet w:numPicBulletId="2">
    <w:pict>
      <v:shape id="_x0000_i1031" type="#_x0000_t75" style="width:21pt;height:15.75pt;visibility:visible;mso-wrap-style:square" o:bullet="t">
        <v:imagedata r:id="rId3" o:title=""/>
      </v:shape>
    </w:pict>
  </w:numPicBullet>
  <w:abstractNum w:abstractNumId="0" w15:restartNumberingAfterBreak="0">
    <w:nsid w:val="00000402"/>
    <w:multiLevelType w:val="multilevel"/>
    <w:tmpl w:val="B8F65172"/>
    <w:lvl w:ilvl="0">
      <w:start w:val="1"/>
      <w:numFmt w:val="decimal"/>
      <w:lvlText w:val="%1."/>
      <w:lvlJc w:val="left"/>
      <w:pPr>
        <w:ind w:left="527" w:hanging="286"/>
      </w:pPr>
      <w:rPr>
        <w:rFonts w:hint="default"/>
        <w:b w:val="0"/>
        <w:bCs w:val="0"/>
        <w:color w:val="auto"/>
        <w:w w:val="99"/>
        <w:sz w:val="20"/>
        <w:szCs w:val="20"/>
        <w:u w:color="023E87"/>
      </w:rPr>
    </w:lvl>
    <w:lvl w:ilvl="1">
      <w:numFmt w:val="bullet"/>
      <w:lvlText w:val="•"/>
      <w:lvlJc w:val="left"/>
      <w:pPr>
        <w:ind w:left="1392" w:hanging="286"/>
      </w:pPr>
    </w:lvl>
    <w:lvl w:ilvl="2">
      <w:numFmt w:val="bullet"/>
      <w:lvlText w:val="•"/>
      <w:lvlJc w:val="left"/>
      <w:pPr>
        <w:ind w:left="2265" w:hanging="286"/>
      </w:pPr>
    </w:lvl>
    <w:lvl w:ilvl="3">
      <w:numFmt w:val="bullet"/>
      <w:lvlText w:val="•"/>
      <w:lvlJc w:val="left"/>
      <w:pPr>
        <w:ind w:left="3137" w:hanging="286"/>
      </w:pPr>
    </w:lvl>
    <w:lvl w:ilvl="4">
      <w:numFmt w:val="bullet"/>
      <w:lvlText w:val="•"/>
      <w:lvlJc w:val="left"/>
      <w:pPr>
        <w:ind w:left="4010" w:hanging="286"/>
      </w:pPr>
    </w:lvl>
    <w:lvl w:ilvl="5">
      <w:numFmt w:val="bullet"/>
      <w:lvlText w:val="•"/>
      <w:lvlJc w:val="left"/>
      <w:pPr>
        <w:ind w:left="4883" w:hanging="286"/>
      </w:pPr>
    </w:lvl>
    <w:lvl w:ilvl="6">
      <w:numFmt w:val="bullet"/>
      <w:lvlText w:val="•"/>
      <w:lvlJc w:val="left"/>
      <w:pPr>
        <w:ind w:left="5755" w:hanging="286"/>
      </w:pPr>
    </w:lvl>
    <w:lvl w:ilvl="7">
      <w:numFmt w:val="bullet"/>
      <w:lvlText w:val="•"/>
      <w:lvlJc w:val="left"/>
      <w:pPr>
        <w:ind w:left="6628" w:hanging="286"/>
      </w:pPr>
    </w:lvl>
    <w:lvl w:ilvl="8">
      <w:numFmt w:val="bullet"/>
      <w:lvlText w:val="•"/>
      <w:lvlJc w:val="left"/>
      <w:pPr>
        <w:ind w:left="7501" w:hanging="286"/>
      </w:pPr>
    </w:lvl>
  </w:abstractNum>
  <w:abstractNum w:abstractNumId="1" w15:restartNumberingAfterBreak="0">
    <w:nsid w:val="0BFD2BE2"/>
    <w:multiLevelType w:val="hybridMultilevel"/>
    <w:tmpl w:val="458EC884"/>
    <w:lvl w:ilvl="0" w:tplc="80384A9A">
      <w:start w:val="2"/>
      <w:numFmt w:val="bullet"/>
      <w:lvlText w:val=""/>
      <w:lvlJc w:val="left"/>
      <w:pPr>
        <w:ind w:left="720" w:hanging="360"/>
      </w:pPr>
      <w:rPr>
        <w:rFonts w:ascii="Wingdings" w:eastAsiaTheme="minorEastAsia"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427779"/>
    <w:multiLevelType w:val="hybridMultilevel"/>
    <w:tmpl w:val="51B632D6"/>
    <w:lvl w:ilvl="0" w:tplc="465A8084">
      <w:start w:val="1"/>
      <w:numFmt w:val="bullet"/>
      <w:lvlText w:val=""/>
      <w:lvlJc w:val="left"/>
      <w:pPr>
        <w:ind w:left="1288" w:hanging="360"/>
      </w:pPr>
      <w:rPr>
        <w:rFonts w:ascii="Symbol" w:hAnsi="Symbol" w:hint="default"/>
        <w:color w:val="3A73AE" w:themeColor="accent1"/>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3" w15:restartNumberingAfterBreak="0">
    <w:nsid w:val="136407D0"/>
    <w:multiLevelType w:val="hybridMultilevel"/>
    <w:tmpl w:val="103C4E28"/>
    <w:lvl w:ilvl="0" w:tplc="AAF885EA">
      <w:start w:val="1"/>
      <w:numFmt w:val="bullet"/>
      <w:lvlText w:val=""/>
      <w:lvlPicBulletId w:val="0"/>
      <w:lvlJc w:val="left"/>
      <w:pPr>
        <w:ind w:left="720" w:hanging="360"/>
      </w:pPr>
      <w:rPr>
        <w:rFonts w:ascii="Symbol" w:hAnsi="Symbol" w:hint="default"/>
        <w:color w:val="auto"/>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E858EA"/>
    <w:multiLevelType w:val="hybridMultilevel"/>
    <w:tmpl w:val="A8CE7D00"/>
    <w:lvl w:ilvl="0" w:tplc="0408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D6A"/>
    <w:multiLevelType w:val="hybridMultilevel"/>
    <w:tmpl w:val="9C6A1660"/>
    <w:lvl w:ilvl="0" w:tplc="0408000F">
      <w:start w:val="1"/>
      <w:numFmt w:val="decimal"/>
      <w:lvlText w:val="%1."/>
      <w:lvlJc w:val="left"/>
      <w:pPr>
        <w:ind w:left="295" w:hanging="360"/>
      </w:p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6" w15:restartNumberingAfterBreak="0">
    <w:nsid w:val="1DAC189C"/>
    <w:multiLevelType w:val="hybridMultilevel"/>
    <w:tmpl w:val="99C6DFD0"/>
    <w:lvl w:ilvl="0" w:tplc="465A8084">
      <w:start w:val="1"/>
      <w:numFmt w:val="bullet"/>
      <w:lvlText w:val=""/>
      <w:lvlJc w:val="left"/>
      <w:pPr>
        <w:ind w:left="720" w:hanging="360"/>
      </w:pPr>
      <w:rPr>
        <w:rFonts w:ascii="Symbol" w:hAnsi="Symbol" w:hint="default"/>
        <w:color w:val="3A73AE"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99769E"/>
    <w:multiLevelType w:val="hybridMultilevel"/>
    <w:tmpl w:val="709EFB7A"/>
    <w:lvl w:ilvl="0" w:tplc="30F0F338">
      <w:start w:val="1"/>
      <w:numFmt w:val="decimal"/>
      <w:lvlText w:val="%1."/>
      <w:lvlJc w:val="left"/>
      <w:pPr>
        <w:ind w:left="502" w:hanging="360"/>
      </w:pPr>
      <w:rPr>
        <w:b/>
        <w:color w:val="FFC000"/>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26D1596D"/>
    <w:multiLevelType w:val="hybridMultilevel"/>
    <w:tmpl w:val="DA5E072A"/>
    <w:lvl w:ilvl="0" w:tplc="A3D48850">
      <w:numFmt w:val="bullet"/>
      <w:lvlText w:val="•"/>
      <w:lvlJc w:val="left"/>
      <w:pPr>
        <w:ind w:left="1080" w:hanging="720"/>
      </w:pPr>
      <w:rPr>
        <w:rFonts w:ascii="Calibri" w:eastAsiaTheme="minorHAnsi" w:hAnsi="Calibr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94606C"/>
    <w:multiLevelType w:val="hybridMultilevel"/>
    <w:tmpl w:val="B73E5EBA"/>
    <w:lvl w:ilvl="0" w:tplc="71E4C9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234FF1"/>
    <w:multiLevelType w:val="hybridMultilevel"/>
    <w:tmpl w:val="4D506F0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37C54981"/>
    <w:multiLevelType w:val="hybridMultilevel"/>
    <w:tmpl w:val="1BEE0378"/>
    <w:lvl w:ilvl="0" w:tplc="8F10FF4E">
      <w:start w:val="1"/>
      <w:numFmt w:val="bullet"/>
      <w:lvlText w:val=""/>
      <w:lvlPicBulletId w:val="2"/>
      <w:lvlJc w:val="left"/>
      <w:pPr>
        <w:tabs>
          <w:tab w:val="num" w:pos="720"/>
        </w:tabs>
        <w:ind w:left="720" w:hanging="360"/>
      </w:pPr>
      <w:rPr>
        <w:rFonts w:ascii="Symbol" w:hAnsi="Symbol" w:hint="default"/>
      </w:rPr>
    </w:lvl>
    <w:lvl w:ilvl="1" w:tplc="131EDA48" w:tentative="1">
      <w:start w:val="1"/>
      <w:numFmt w:val="bullet"/>
      <w:lvlText w:val=""/>
      <w:lvlJc w:val="left"/>
      <w:pPr>
        <w:tabs>
          <w:tab w:val="num" w:pos="1440"/>
        </w:tabs>
        <w:ind w:left="1440" w:hanging="360"/>
      </w:pPr>
      <w:rPr>
        <w:rFonts w:ascii="Symbol" w:hAnsi="Symbol" w:hint="default"/>
      </w:rPr>
    </w:lvl>
    <w:lvl w:ilvl="2" w:tplc="885237D6" w:tentative="1">
      <w:start w:val="1"/>
      <w:numFmt w:val="bullet"/>
      <w:lvlText w:val=""/>
      <w:lvlJc w:val="left"/>
      <w:pPr>
        <w:tabs>
          <w:tab w:val="num" w:pos="2160"/>
        </w:tabs>
        <w:ind w:left="2160" w:hanging="360"/>
      </w:pPr>
      <w:rPr>
        <w:rFonts w:ascii="Symbol" w:hAnsi="Symbol" w:hint="default"/>
      </w:rPr>
    </w:lvl>
    <w:lvl w:ilvl="3" w:tplc="8602A346" w:tentative="1">
      <w:start w:val="1"/>
      <w:numFmt w:val="bullet"/>
      <w:lvlText w:val=""/>
      <w:lvlJc w:val="left"/>
      <w:pPr>
        <w:tabs>
          <w:tab w:val="num" w:pos="2880"/>
        </w:tabs>
        <w:ind w:left="2880" w:hanging="360"/>
      </w:pPr>
      <w:rPr>
        <w:rFonts w:ascii="Symbol" w:hAnsi="Symbol" w:hint="default"/>
      </w:rPr>
    </w:lvl>
    <w:lvl w:ilvl="4" w:tplc="267E0538" w:tentative="1">
      <w:start w:val="1"/>
      <w:numFmt w:val="bullet"/>
      <w:lvlText w:val=""/>
      <w:lvlJc w:val="left"/>
      <w:pPr>
        <w:tabs>
          <w:tab w:val="num" w:pos="3600"/>
        </w:tabs>
        <w:ind w:left="3600" w:hanging="360"/>
      </w:pPr>
      <w:rPr>
        <w:rFonts w:ascii="Symbol" w:hAnsi="Symbol" w:hint="default"/>
      </w:rPr>
    </w:lvl>
    <w:lvl w:ilvl="5" w:tplc="A668941A" w:tentative="1">
      <w:start w:val="1"/>
      <w:numFmt w:val="bullet"/>
      <w:lvlText w:val=""/>
      <w:lvlJc w:val="left"/>
      <w:pPr>
        <w:tabs>
          <w:tab w:val="num" w:pos="4320"/>
        </w:tabs>
        <w:ind w:left="4320" w:hanging="360"/>
      </w:pPr>
      <w:rPr>
        <w:rFonts w:ascii="Symbol" w:hAnsi="Symbol" w:hint="default"/>
      </w:rPr>
    </w:lvl>
    <w:lvl w:ilvl="6" w:tplc="4B16EC44" w:tentative="1">
      <w:start w:val="1"/>
      <w:numFmt w:val="bullet"/>
      <w:lvlText w:val=""/>
      <w:lvlJc w:val="left"/>
      <w:pPr>
        <w:tabs>
          <w:tab w:val="num" w:pos="5040"/>
        </w:tabs>
        <w:ind w:left="5040" w:hanging="360"/>
      </w:pPr>
      <w:rPr>
        <w:rFonts w:ascii="Symbol" w:hAnsi="Symbol" w:hint="default"/>
      </w:rPr>
    </w:lvl>
    <w:lvl w:ilvl="7" w:tplc="87C4F5F4" w:tentative="1">
      <w:start w:val="1"/>
      <w:numFmt w:val="bullet"/>
      <w:lvlText w:val=""/>
      <w:lvlJc w:val="left"/>
      <w:pPr>
        <w:tabs>
          <w:tab w:val="num" w:pos="5760"/>
        </w:tabs>
        <w:ind w:left="5760" w:hanging="360"/>
      </w:pPr>
      <w:rPr>
        <w:rFonts w:ascii="Symbol" w:hAnsi="Symbol" w:hint="default"/>
      </w:rPr>
    </w:lvl>
    <w:lvl w:ilvl="8" w:tplc="33103E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927C3D"/>
    <w:multiLevelType w:val="hybridMultilevel"/>
    <w:tmpl w:val="29ECA054"/>
    <w:lvl w:ilvl="0" w:tplc="465A8084">
      <w:start w:val="1"/>
      <w:numFmt w:val="bullet"/>
      <w:lvlText w:val=""/>
      <w:lvlJc w:val="left"/>
      <w:pPr>
        <w:ind w:left="720" w:hanging="360"/>
      </w:pPr>
      <w:rPr>
        <w:rFonts w:ascii="Symbol" w:hAnsi="Symbol" w:hint="default"/>
        <w:color w:val="3A73AE" w:themeColor="accent1"/>
        <w:sz w:val="20"/>
        <w:szCs w:val="2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576187"/>
    <w:multiLevelType w:val="hybridMultilevel"/>
    <w:tmpl w:val="91A859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B4D3594"/>
    <w:multiLevelType w:val="hybridMultilevel"/>
    <w:tmpl w:val="C3EE1B5C"/>
    <w:lvl w:ilvl="0" w:tplc="4620A314">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3FC06DAD"/>
    <w:multiLevelType w:val="multilevel"/>
    <w:tmpl w:val="B262057C"/>
    <w:lvl w:ilvl="0">
      <w:numFmt w:val="bullet"/>
      <w:lvlText w:val=""/>
      <w:lvlJc w:val="left"/>
      <w:pPr>
        <w:ind w:left="578" w:hanging="360"/>
      </w:pPr>
      <w:rPr>
        <w:rFonts w:ascii="Symbol" w:hAnsi="Symbol"/>
        <w:color w:val="auto"/>
        <w:sz w:val="20"/>
        <w:szCs w:val="20"/>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6" w15:restartNumberingAfterBreak="0">
    <w:nsid w:val="40413A68"/>
    <w:multiLevelType w:val="hybridMultilevel"/>
    <w:tmpl w:val="C1EC35EA"/>
    <w:lvl w:ilvl="0" w:tplc="50285DF2">
      <w:start w:val="1"/>
      <w:numFmt w:val="bullet"/>
      <w:lvlText w:val=""/>
      <w:lvlJc w:val="left"/>
      <w:pPr>
        <w:ind w:left="720" w:hanging="360"/>
      </w:pPr>
      <w:rPr>
        <w:rFonts w:ascii="Symbol" w:hAnsi="Symbol" w:hint="default"/>
        <w:color w:val="FFC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750700"/>
    <w:multiLevelType w:val="hybridMultilevel"/>
    <w:tmpl w:val="DDACB378"/>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8" w15:restartNumberingAfterBreak="0">
    <w:nsid w:val="452720F6"/>
    <w:multiLevelType w:val="hybridMultilevel"/>
    <w:tmpl w:val="54E69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4200F5"/>
    <w:multiLevelType w:val="hybridMultilevel"/>
    <w:tmpl w:val="8BA48B6E"/>
    <w:lvl w:ilvl="0" w:tplc="900EE7D4">
      <w:start w:val="1"/>
      <w:numFmt w:val="bullet"/>
      <w:lvlText w:val=""/>
      <w:lvlPicBulletId w:val="0"/>
      <w:lvlJc w:val="left"/>
      <w:pPr>
        <w:ind w:left="720" w:hanging="360"/>
      </w:pPr>
      <w:rPr>
        <w:rFonts w:ascii="Symbol" w:hAnsi="Symbol" w:hint="default"/>
        <w:color w:val="auto"/>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4492C81"/>
    <w:multiLevelType w:val="hybridMultilevel"/>
    <w:tmpl w:val="58F875CC"/>
    <w:lvl w:ilvl="0" w:tplc="465A8084">
      <w:start w:val="1"/>
      <w:numFmt w:val="bullet"/>
      <w:lvlText w:val=""/>
      <w:lvlJc w:val="left"/>
      <w:pPr>
        <w:ind w:left="578" w:hanging="360"/>
      </w:pPr>
      <w:rPr>
        <w:rFonts w:ascii="Symbol" w:hAnsi="Symbol" w:hint="default"/>
        <w:color w:val="3A73AE" w:themeColor="accent1"/>
        <w:sz w:val="20"/>
        <w:szCs w:val="20"/>
        <w:lang w:val="el-GR"/>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5A4A0C45"/>
    <w:multiLevelType w:val="hybridMultilevel"/>
    <w:tmpl w:val="FEACAAB6"/>
    <w:lvl w:ilvl="0" w:tplc="7B42F334">
      <w:start w:val="1"/>
      <w:numFmt w:val="bullet"/>
      <w:lvlText w:val=""/>
      <w:lvlJc w:val="left"/>
      <w:pPr>
        <w:ind w:left="720" w:hanging="360"/>
      </w:pPr>
      <w:rPr>
        <w:rFonts w:ascii="Wingdings" w:hAnsi="Wingdings" w:hint="default"/>
        <w:lang w:val="el-GR"/>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C991070"/>
    <w:multiLevelType w:val="hybridMultilevel"/>
    <w:tmpl w:val="9C3AFD44"/>
    <w:lvl w:ilvl="0" w:tplc="E3442374">
      <w:start w:val="23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C10099"/>
    <w:multiLevelType w:val="hybridMultilevel"/>
    <w:tmpl w:val="33A6B04A"/>
    <w:lvl w:ilvl="0" w:tplc="0408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505C1"/>
    <w:multiLevelType w:val="hybridMultilevel"/>
    <w:tmpl w:val="C33C81B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92046E"/>
    <w:multiLevelType w:val="hybridMultilevel"/>
    <w:tmpl w:val="1B04D692"/>
    <w:lvl w:ilvl="0" w:tplc="50E01FD0">
      <w:start w:val="1"/>
      <w:numFmt w:val="decimal"/>
      <w:lvlText w:val="(%1)"/>
      <w:lvlJc w:val="left"/>
      <w:pPr>
        <w:ind w:left="360" w:hanging="360"/>
      </w:pPr>
      <w:rPr>
        <w:rFonts w:asciiTheme="minorHAnsi" w:eastAsiaTheme="minorHAnsi" w:hAnsiTheme="minorHAnsi" w:cstheme="majorHAnsi"/>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E032BE8"/>
    <w:multiLevelType w:val="hybridMultilevel"/>
    <w:tmpl w:val="5FB885AC"/>
    <w:lvl w:ilvl="0" w:tplc="6C3E16C0">
      <w:start w:val="1"/>
      <w:numFmt w:val="bullet"/>
      <w:lvlText w:val=""/>
      <w:lvlJc w:val="left"/>
      <w:pPr>
        <w:ind w:left="720" w:hanging="360"/>
      </w:pPr>
      <w:rPr>
        <w:rFonts w:ascii="Symbol" w:hAnsi="Symbol"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9F7C09"/>
    <w:multiLevelType w:val="hybridMultilevel"/>
    <w:tmpl w:val="7338B3F2"/>
    <w:lvl w:ilvl="0" w:tplc="465A8084">
      <w:start w:val="1"/>
      <w:numFmt w:val="bullet"/>
      <w:lvlText w:val=""/>
      <w:lvlJc w:val="left"/>
      <w:pPr>
        <w:ind w:left="720" w:hanging="360"/>
      </w:pPr>
      <w:rPr>
        <w:rFonts w:ascii="Symbol" w:hAnsi="Symbol" w:hint="default"/>
        <w:color w:val="3A73AE"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D149C"/>
    <w:multiLevelType w:val="hybridMultilevel"/>
    <w:tmpl w:val="D554B404"/>
    <w:lvl w:ilvl="0" w:tplc="465A8084">
      <w:start w:val="1"/>
      <w:numFmt w:val="bullet"/>
      <w:lvlText w:val=""/>
      <w:lvlJc w:val="left"/>
      <w:pPr>
        <w:ind w:left="720" w:hanging="360"/>
      </w:pPr>
      <w:rPr>
        <w:rFonts w:ascii="Symbol" w:hAnsi="Symbol" w:hint="default"/>
        <w:color w:val="3A73AE" w:themeColor="accent1"/>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7775BAB"/>
    <w:multiLevelType w:val="hybridMultilevel"/>
    <w:tmpl w:val="D0EEB1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B1E02A8"/>
    <w:multiLevelType w:val="hybridMultilevel"/>
    <w:tmpl w:val="9FA02D84"/>
    <w:lvl w:ilvl="0" w:tplc="EE143012">
      <w:start w:val="231"/>
      <w:numFmt w:val="bullet"/>
      <w:lvlText w:val="-"/>
      <w:lvlJc w:val="left"/>
      <w:pPr>
        <w:ind w:left="384" w:hanging="360"/>
      </w:pPr>
      <w:rPr>
        <w:rFonts w:ascii="Calibri" w:eastAsiaTheme="minorEastAsia" w:hAnsi="Calibri" w:cs="Calibri" w:hint="default"/>
      </w:rPr>
    </w:lvl>
    <w:lvl w:ilvl="1" w:tplc="04080003" w:tentative="1">
      <w:start w:val="1"/>
      <w:numFmt w:val="bullet"/>
      <w:lvlText w:val="o"/>
      <w:lvlJc w:val="left"/>
      <w:pPr>
        <w:ind w:left="1104" w:hanging="360"/>
      </w:pPr>
      <w:rPr>
        <w:rFonts w:ascii="Courier New" w:hAnsi="Courier New" w:cs="Courier New" w:hint="default"/>
      </w:rPr>
    </w:lvl>
    <w:lvl w:ilvl="2" w:tplc="04080005" w:tentative="1">
      <w:start w:val="1"/>
      <w:numFmt w:val="bullet"/>
      <w:lvlText w:val=""/>
      <w:lvlJc w:val="left"/>
      <w:pPr>
        <w:ind w:left="1824" w:hanging="360"/>
      </w:pPr>
      <w:rPr>
        <w:rFonts w:ascii="Wingdings" w:hAnsi="Wingdings" w:hint="default"/>
      </w:rPr>
    </w:lvl>
    <w:lvl w:ilvl="3" w:tplc="04080001" w:tentative="1">
      <w:start w:val="1"/>
      <w:numFmt w:val="bullet"/>
      <w:lvlText w:val=""/>
      <w:lvlJc w:val="left"/>
      <w:pPr>
        <w:ind w:left="2544" w:hanging="360"/>
      </w:pPr>
      <w:rPr>
        <w:rFonts w:ascii="Symbol" w:hAnsi="Symbol" w:hint="default"/>
      </w:rPr>
    </w:lvl>
    <w:lvl w:ilvl="4" w:tplc="04080003" w:tentative="1">
      <w:start w:val="1"/>
      <w:numFmt w:val="bullet"/>
      <w:lvlText w:val="o"/>
      <w:lvlJc w:val="left"/>
      <w:pPr>
        <w:ind w:left="3264" w:hanging="360"/>
      </w:pPr>
      <w:rPr>
        <w:rFonts w:ascii="Courier New" w:hAnsi="Courier New" w:cs="Courier New" w:hint="default"/>
      </w:rPr>
    </w:lvl>
    <w:lvl w:ilvl="5" w:tplc="04080005" w:tentative="1">
      <w:start w:val="1"/>
      <w:numFmt w:val="bullet"/>
      <w:lvlText w:val=""/>
      <w:lvlJc w:val="left"/>
      <w:pPr>
        <w:ind w:left="3984" w:hanging="360"/>
      </w:pPr>
      <w:rPr>
        <w:rFonts w:ascii="Wingdings" w:hAnsi="Wingdings" w:hint="default"/>
      </w:rPr>
    </w:lvl>
    <w:lvl w:ilvl="6" w:tplc="04080001" w:tentative="1">
      <w:start w:val="1"/>
      <w:numFmt w:val="bullet"/>
      <w:lvlText w:val=""/>
      <w:lvlJc w:val="left"/>
      <w:pPr>
        <w:ind w:left="4704" w:hanging="360"/>
      </w:pPr>
      <w:rPr>
        <w:rFonts w:ascii="Symbol" w:hAnsi="Symbol" w:hint="default"/>
      </w:rPr>
    </w:lvl>
    <w:lvl w:ilvl="7" w:tplc="04080003" w:tentative="1">
      <w:start w:val="1"/>
      <w:numFmt w:val="bullet"/>
      <w:lvlText w:val="o"/>
      <w:lvlJc w:val="left"/>
      <w:pPr>
        <w:ind w:left="5424" w:hanging="360"/>
      </w:pPr>
      <w:rPr>
        <w:rFonts w:ascii="Courier New" w:hAnsi="Courier New" w:cs="Courier New" w:hint="default"/>
      </w:rPr>
    </w:lvl>
    <w:lvl w:ilvl="8" w:tplc="04080005" w:tentative="1">
      <w:start w:val="1"/>
      <w:numFmt w:val="bullet"/>
      <w:lvlText w:val=""/>
      <w:lvlJc w:val="left"/>
      <w:pPr>
        <w:ind w:left="6144" w:hanging="360"/>
      </w:pPr>
      <w:rPr>
        <w:rFonts w:ascii="Wingdings" w:hAnsi="Wingdings" w:hint="default"/>
      </w:rPr>
    </w:lvl>
  </w:abstractNum>
  <w:abstractNum w:abstractNumId="31" w15:restartNumberingAfterBreak="0">
    <w:nsid w:val="7D3C3B74"/>
    <w:multiLevelType w:val="hybridMultilevel"/>
    <w:tmpl w:val="4E7E8DCE"/>
    <w:lvl w:ilvl="0" w:tplc="A5C87950">
      <w:start w:val="1"/>
      <w:numFmt w:val="decimal"/>
      <w:lvlText w:val="%1."/>
      <w:lvlJc w:val="left"/>
      <w:pPr>
        <w:ind w:left="366" w:hanging="360"/>
      </w:pPr>
      <w:rPr>
        <w:rFonts w:hint="default"/>
      </w:rPr>
    </w:lvl>
    <w:lvl w:ilvl="1" w:tplc="04080019" w:tentative="1">
      <w:start w:val="1"/>
      <w:numFmt w:val="lowerLetter"/>
      <w:lvlText w:val="%2."/>
      <w:lvlJc w:val="left"/>
      <w:pPr>
        <w:ind w:left="1086" w:hanging="360"/>
      </w:pPr>
    </w:lvl>
    <w:lvl w:ilvl="2" w:tplc="0408001B" w:tentative="1">
      <w:start w:val="1"/>
      <w:numFmt w:val="lowerRoman"/>
      <w:lvlText w:val="%3."/>
      <w:lvlJc w:val="right"/>
      <w:pPr>
        <w:ind w:left="1806" w:hanging="180"/>
      </w:pPr>
    </w:lvl>
    <w:lvl w:ilvl="3" w:tplc="0408000F" w:tentative="1">
      <w:start w:val="1"/>
      <w:numFmt w:val="decimal"/>
      <w:lvlText w:val="%4."/>
      <w:lvlJc w:val="left"/>
      <w:pPr>
        <w:ind w:left="2526" w:hanging="360"/>
      </w:pPr>
    </w:lvl>
    <w:lvl w:ilvl="4" w:tplc="04080019" w:tentative="1">
      <w:start w:val="1"/>
      <w:numFmt w:val="lowerLetter"/>
      <w:lvlText w:val="%5."/>
      <w:lvlJc w:val="left"/>
      <w:pPr>
        <w:ind w:left="3246" w:hanging="360"/>
      </w:pPr>
    </w:lvl>
    <w:lvl w:ilvl="5" w:tplc="0408001B" w:tentative="1">
      <w:start w:val="1"/>
      <w:numFmt w:val="lowerRoman"/>
      <w:lvlText w:val="%6."/>
      <w:lvlJc w:val="right"/>
      <w:pPr>
        <w:ind w:left="3966" w:hanging="180"/>
      </w:pPr>
    </w:lvl>
    <w:lvl w:ilvl="6" w:tplc="0408000F" w:tentative="1">
      <w:start w:val="1"/>
      <w:numFmt w:val="decimal"/>
      <w:lvlText w:val="%7."/>
      <w:lvlJc w:val="left"/>
      <w:pPr>
        <w:ind w:left="4686" w:hanging="360"/>
      </w:pPr>
    </w:lvl>
    <w:lvl w:ilvl="7" w:tplc="04080019" w:tentative="1">
      <w:start w:val="1"/>
      <w:numFmt w:val="lowerLetter"/>
      <w:lvlText w:val="%8."/>
      <w:lvlJc w:val="left"/>
      <w:pPr>
        <w:ind w:left="5406" w:hanging="360"/>
      </w:pPr>
    </w:lvl>
    <w:lvl w:ilvl="8" w:tplc="0408001B" w:tentative="1">
      <w:start w:val="1"/>
      <w:numFmt w:val="lowerRoman"/>
      <w:lvlText w:val="%9."/>
      <w:lvlJc w:val="right"/>
      <w:pPr>
        <w:ind w:left="6126" w:hanging="180"/>
      </w:pPr>
    </w:lvl>
  </w:abstractNum>
  <w:abstractNum w:abstractNumId="32" w15:restartNumberingAfterBreak="0">
    <w:nsid w:val="7DA5056F"/>
    <w:multiLevelType w:val="hybridMultilevel"/>
    <w:tmpl w:val="31060A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E0604AB"/>
    <w:multiLevelType w:val="hybridMultilevel"/>
    <w:tmpl w:val="503688A0"/>
    <w:lvl w:ilvl="0" w:tplc="C024DC3A">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4" w15:restartNumberingAfterBreak="0">
    <w:nsid w:val="7F7E61CD"/>
    <w:multiLevelType w:val="hybridMultilevel"/>
    <w:tmpl w:val="67CC7CE8"/>
    <w:lvl w:ilvl="0" w:tplc="1108CC74">
      <w:start w:val="1"/>
      <w:numFmt w:val="bullet"/>
      <w:lvlText w:val=""/>
      <w:lvlJc w:val="left"/>
      <w:pPr>
        <w:ind w:left="720" w:hanging="360"/>
      </w:pPr>
      <w:rPr>
        <w:rFonts w:ascii="Symbol" w:hAnsi="Symbol" w:hint="default"/>
        <w:color w:val="003C96" w:themeColor="text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3"/>
  </w:num>
  <w:num w:numId="4">
    <w:abstractNumId w:val="4"/>
  </w:num>
  <w:num w:numId="5">
    <w:abstractNumId w:val="21"/>
  </w:num>
  <w:num w:numId="6">
    <w:abstractNumId w:val="26"/>
  </w:num>
  <w:num w:numId="7">
    <w:abstractNumId w:val="8"/>
  </w:num>
  <w:num w:numId="8">
    <w:abstractNumId w:val="34"/>
  </w:num>
  <w:num w:numId="9">
    <w:abstractNumId w:val="25"/>
  </w:num>
  <w:num w:numId="10">
    <w:abstractNumId w:val="29"/>
  </w:num>
  <w:num w:numId="11">
    <w:abstractNumId w:val="27"/>
  </w:num>
  <w:num w:numId="12">
    <w:abstractNumId w:val="11"/>
  </w:num>
  <w:num w:numId="13">
    <w:abstractNumId w:val="27"/>
  </w:num>
  <w:num w:numId="14">
    <w:abstractNumId w:val="10"/>
  </w:num>
  <w:num w:numId="15">
    <w:abstractNumId w:val="20"/>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6"/>
  </w:num>
  <w:num w:numId="20">
    <w:abstractNumId w:val="7"/>
  </w:num>
  <w:num w:numId="21">
    <w:abstractNumId w:val="1"/>
  </w:num>
  <w:num w:numId="22">
    <w:abstractNumId w:val="22"/>
  </w:num>
  <w:num w:numId="23">
    <w:abstractNumId w:val="30"/>
  </w:num>
  <w:num w:numId="24">
    <w:abstractNumId w:val="3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6"/>
  </w:num>
  <w:num w:numId="28">
    <w:abstractNumId w:val="2"/>
  </w:num>
  <w:num w:numId="29">
    <w:abstractNumId w:val="31"/>
  </w:num>
  <w:num w:numId="30">
    <w:abstractNumId w:val="0"/>
  </w:num>
  <w:num w:numId="31">
    <w:abstractNumId w:val="28"/>
  </w:num>
  <w:num w:numId="32">
    <w:abstractNumId w:val="17"/>
  </w:num>
  <w:num w:numId="33">
    <w:abstractNumId w:val="33"/>
  </w:num>
  <w:num w:numId="34">
    <w:abstractNumId w:val="9"/>
  </w:num>
  <w:num w:numId="35">
    <w:abstractNumId w:val="1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18"/>
    <w:rsid w:val="000007A3"/>
    <w:rsid w:val="0000082A"/>
    <w:rsid w:val="00000BC6"/>
    <w:rsid w:val="00000F68"/>
    <w:rsid w:val="00001E6E"/>
    <w:rsid w:val="00002FDD"/>
    <w:rsid w:val="0000346D"/>
    <w:rsid w:val="00003672"/>
    <w:rsid w:val="00003855"/>
    <w:rsid w:val="00003A09"/>
    <w:rsid w:val="00003FFC"/>
    <w:rsid w:val="0000442A"/>
    <w:rsid w:val="0000443E"/>
    <w:rsid w:val="00004ACD"/>
    <w:rsid w:val="0000575F"/>
    <w:rsid w:val="0000595D"/>
    <w:rsid w:val="00005BE9"/>
    <w:rsid w:val="00005CA5"/>
    <w:rsid w:val="00005CB6"/>
    <w:rsid w:val="00005E5E"/>
    <w:rsid w:val="00006029"/>
    <w:rsid w:val="000062A0"/>
    <w:rsid w:val="000063E4"/>
    <w:rsid w:val="000077D1"/>
    <w:rsid w:val="00007940"/>
    <w:rsid w:val="00007A6A"/>
    <w:rsid w:val="00010393"/>
    <w:rsid w:val="00010908"/>
    <w:rsid w:val="00010B68"/>
    <w:rsid w:val="00011CB8"/>
    <w:rsid w:val="00012EA5"/>
    <w:rsid w:val="00013051"/>
    <w:rsid w:val="00013564"/>
    <w:rsid w:val="0001359E"/>
    <w:rsid w:val="00013892"/>
    <w:rsid w:val="0001438C"/>
    <w:rsid w:val="00015386"/>
    <w:rsid w:val="00015854"/>
    <w:rsid w:val="00015FAE"/>
    <w:rsid w:val="00016980"/>
    <w:rsid w:val="000178E4"/>
    <w:rsid w:val="00017DA7"/>
    <w:rsid w:val="00020371"/>
    <w:rsid w:val="000203EC"/>
    <w:rsid w:val="0002067A"/>
    <w:rsid w:val="000206C6"/>
    <w:rsid w:val="00020A2A"/>
    <w:rsid w:val="00021226"/>
    <w:rsid w:val="0002147D"/>
    <w:rsid w:val="000215DB"/>
    <w:rsid w:val="00021A4E"/>
    <w:rsid w:val="00021BD0"/>
    <w:rsid w:val="00022A88"/>
    <w:rsid w:val="00022CCE"/>
    <w:rsid w:val="00023546"/>
    <w:rsid w:val="000238A4"/>
    <w:rsid w:val="00025755"/>
    <w:rsid w:val="00025D14"/>
    <w:rsid w:val="0002706C"/>
    <w:rsid w:val="00027255"/>
    <w:rsid w:val="000278B7"/>
    <w:rsid w:val="00027BA6"/>
    <w:rsid w:val="00030364"/>
    <w:rsid w:val="00030D02"/>
    <w:rsid w:val="000310AD"/>
    <w:rsid w:val="00031657"/>
    <w:rsid w:val="00031F12"/>
    <w:rsid w:val="00032B67"/>
    <w:rsid w:val="00032E03"/>
    <w:rsid w:val="00033976"/>
    <w:rsid w:val="00034112"/>
    <w:rsid w:val="00034117"/>
    <w:rsid w:val="00034737"/>
    <w:rsid w:val="00034F63"/>
    <w:rsid w:val="00034F7D"/>
    <w:rsid w:val="00034F8D"/>
    <w:rsid w:val="00035782"/>
    <w:rsid w:val="00035CFC"/>
    <w:rsid w:val="000361FC"/>
    <w:rsid w:val="00036CAB"/>
    <w:rsid w:val="00036DFB"/>
    <w:rsid w:val="00037365"/>
    <w:rsid w:val="00037376"/>
    <w:rsid w:val="00037ABB"/>
    <w:rsid w:val="00037C92"/>
    <w:rsid w:val="00037DDC"/>
    <w:rsid w:val="00037E16"/>
    <w:rsid w:val="000400C0"/>
    <w:rsid w:val="00040A98"/>
    <w:rsid w:val="00040F71"/>
    <w:rsid w:val="00042251"/>
    <w:rsid w:val="0004347B"/>
    <w:rsid w:val="000435B4"/>
    <w:rsid w:val="00043933"/>
    <w:rsid w:val="000439BB"/>
    <w:rsid w:val="0004427A"/>
    <w:rsid w:val="0004461D"/>
    <w:rsid w:val="00044B60"/>
    <w:rsid w:val="0004528A"/>
    <w:rsid w:val="000455E0"/>
    <w:rsid w:val="00045C2B"/>
    <w:rsid w:val="00045F04"/>
    <w:rsid w:val="00046277"/>
    <w:rsid w:val="00046355"/>
    <w:rsid w:val="000470B3"/>
    <w:rsid w:val="0004746D"/>
    <w:rsid w:val="00047535"/>
    <w:rsid w:val="00051587"/>
    <w:rsid w:val="00052546"/>
    <w:rsid w:val="00052957"/>
    <w:rsid w:val="000529A6"/>
    <w:rsid w:val="0005319A"/>
    <w:rsid w:val="000532FB"/>
    <w:rsid w:val="00053E04"/>
    <w:rsid w:val="00053F76"/>
    <w:rsid w:val="000541AA"/>
    <w:rsid w:val="00054345"/>
    <w:rsid w:val="000547B5"/>
    <w:rsid w:val="00054827"/>
    <w:rsid w:val="00054A25"/>
    <w:rsid w:val="00054E9E"/>
    <w:rsid w:val="00055403"/>
    <w:rsid w:val="00056E3C"/>
    <w:rsid w:val="000571A8"/>
    <w:rsid w:val="00057B20"/>
    <w:rsid w:val="0006028B"/>
    <w:rsid w:val="00061186"/>
    <w:rsid w:val="0006140B"/>
    <w:rsid w:val="000614F8"/>
    <w:rsid w:val="000617BD"/>
    <w:rsid w:val="0006190D"/>
    <w:rsid w:val="00061B16"/>
    <w:rsid w:val="000620E3"/>
    <w:rsid w:val="00062C19"/>
    <w:rsid w:val="00062C84"/>
    <w:rsid w:val="000634DB"/>
    <w:rsid w:val="000635FC"/>
    <w:rsid w:val="000638E1"/>
    <w:rsid w:val="000642CA"/>
    <w:rsid w:val="000645D7"/>
    <w:rsid w:val="0006468F"/>
    <w:rsid w:val="00064E07"/>
    <w:rsid w:val="000652C4"/>
    <w:rsid w:val="00065838"/>
    <w:rsid w:val="00065917"/>
    <w:rsid w:val="00066296"/>
    <w:rsid w:val="00066A63"/>
    <w:rsid w:val="00066F7F"/>
    <w:rsid w:val="00067250"/>
    <w:rsid w:val="00070028"/>
    <w:rsid w:val="00070112"/>
    <w:rsid w:val="000702FC"/>
    <w:rsid w:val="000703B6"/>
    <w:rsid w:val="0007076B"/>
    <w:rsid w:val="0007081D"/>
    <w:rsid w:val="000709DA"/>
    <w:rsid w:val="00070B58"/>
    <w:rsid w:val="00070E50"/>
    <w:rsid w:val="00070EAC"/>
    <w:rsid w:val="0007175D"/>
    <w:rsid w:val="00071F3F"/>
    <w:rsid w:val="00072780"/>
    <w:rsid w:val="00072FE2"/>
    <w:rsid w:val="000731A4"/>
    <w:rsid w:val="00073603"/>
    <w:rsid w:val="000736B0"/>
    <w:rsid w:val="0007418C"/>
    <w:rsid w:val="00075AC2"/>
    <w:rsid w:val="00075AD9"/>
    <w:rsid w:val="00075D3E"/>
    <w:rsid w:val="00076B61"/>
    <w:rsid w:val="00077508"/>
    <w:rsid w:val="00077517"/>
    <w:rsid w:val="00077AE3"/>
    <w:rsid w:val="00080132"/>
    <w:rsid w:val="000803B4"/>
    <w:rsid w:val="000806D6"/>
    <w:rsid w:val="000806E0"/>
    <w:rsid w:val="00081584"/>
    <w:rsid w:val="000821CE"/>
    <w:rsid w:val="00083046"/>
    <w:rsid w:val="000835D6"/>
    <w:rsid w:val="000837A3"/>
    <w:rsid w:val="00083DE1"/>
    <w:rsid w:val="000840A9"/>
    <w:rsid w:val="0008436B"/>
    <w:rsid w:val="000848BE"/>
    <w:rsid w:val="00084B00"/>
    <w:rsid w:val="00085105"/>
    <w:rsid w:val="00085298"/>
    <w:rsid w:val="000863E3"/>
    <w:rsid w:val="000865AE"/>
    <w:rsid w:val="000865E1"/>
    <w:rsid w:val="000869B6"/>
    <w:rsid w:val="00087B01"/>
    <w:rsid w:val="000907F7"/>
    <w:rsid w:val="00090C5F"/>
    <w:rsid w:val="00090EFC"/>
    <w:rsid w:val="00092097"/>
    <w:rsid w:val="000926A9"/>
    <w:rsid w:val="00093CCF"/>
    <w:rsid w:val="00093E7E"/>
    <w:rsid w:val="00094182"/>
    <w:rsid w:val="00094323"/>
    <w:rsid w:val="00094746"/>
    <w:rsid w:val="00094C6F"/>
    <w:rsid w:val="00094C99"/>
    <w:rsid w:val="000955E1"/>
    <w:rsid w:val="000965B3"/>
    <w:rsid w:val="0009699F"/>
    <w:rsid w:val="00096DBA"/>
    <w:rsid w:val="00096FF2"/>
    <w:rsid w:val="00097435"/>
    <w:rsid w:val="000979EF"/>
    <w:rsid w:val="00097B3E"/>
    <w:rsid w:val="00097C2B"/>
    <w:rsid w:val="000A0737"/>
    <w:rsid w:val="000A0FDC"/>
    <w:rsid w:val="000A1E95"/>
    <w:rsid w:val="000A2628"/>
    <w:rsid w:val="000A26D2"/>
    <w:rsid w:val="000A2CA1"/>
    <w:rsid w:val="000A2E3D"/>
    <w:rsid w:val="000A2EC5"/>
    <w:rsid w:val="000A3A7F"/>
    <w:rsid w:val="000A3BD2"/>
    <w:rsid w:val="000A3F00"/>
    <w:rsid w:val="000A4C0E"/>
    <w:rsid w:val="000A4CC5"/>
    <w:rsid w:val="000A5338"/>
    <w:rsid w:val="000A5649"/>
    <w:rsid w:val="000A5745"/>
    <w:rsid w:val="000A5780"/>
    <w:rsid w:val="000A5953"/>
    <w:rsid w:val="000A5BF6"/>
    <w:rsid w:val="000A6299"/>
    <w:rsid w:val="000A66CC"/>
    <w:rsid w:val="000A682D"/>
    <w:rsid w:val="000A6ABC"/>
    <w:rsid w:val="000A7E41"/>
    <w:rsid w:val="000B04E3"/>
    <w:rsid w:val="000B080B"/>
    <w:rsid w:val="000B11E4"/>
    <w:rsid w:val="000B1781"/>
    <w:rsid w:val="000B1D47"/>
    <w:rsid w:val="000B2311"/>
    <w:rsid w:val="000B23AE"/>
    <w:rsid w:val="000B30BD"/>
    <w:rsid w:val="000B3AD3"/>
    <w:rsid w:val="000B4FFB"/>
    <w:rsid w:val="000B5812"/>
    <w:rsid w:val="000B5BF3"/>
    <w:rsid w:val="000B5DF0"/>
    <w:rsid w:val="000B5FD8"/>
    <w:rsid w:val="000B68E5"/>
    <w:rsid w:val="000B69AF"/>
    <w:rsid w:val="000B6B48"/>
    <w:rsid w:val="000B7117"/>
    <w:rsid w:val="000B7357"/>
    <w:rsid w:val="000B768D"/>
    <w:rsid w:val="000B7954"/>
    <w:rsid w:val="000B7A2A"/>
    <w:rsid w:val="000B7B5B"/>
    <w:rsid w:val="000B7C84"/>
    <w:rsid w:val="000C05C2"/>
    <w:rsid w:val="000C17D2"/>
    <w:rsid w:val="000C186C"/>
    <w:rsid w:val="000C189C"/>
    <w:rsid w:val="000C2E3C"/>
    <w:rsid w:val="000C3119"/>
    <w:rsid w:val="000C3DEB"/>
    <w:rsid w:val="000C5F7B"/>
    <w:rsid w:val="000C620B"/>
    <w:rsid w:val="000C63E4"/>
    <w:rsid w:val="000C6468"/>
    <w:rsid w:val="000C66AE"/>
    <w:rsid w:val="000C6EFB"/>
    <w:rsid w:val="000C71D8"/>
    <w:rsid w:val="000D013B"/>
    <w:rsid w:val="000D06B7"/>
    <w:rsid w:val="000D2FE7"/>
    <w:rsid w:val="000D341E"/>
    <w:rsid w:val="000D393F"/>
    <w:rsid w:val="000D3E67"/>
    <w:rsid w:val="000D41A8"/>
    <w:rsid w:val="000D428A"/>
    <w:rsid w:val="000D4925"/>
    <w:rsid w:val="000D4BD5"/>
    <w:rsid w:val="000D5169"/>
    <w:rsid w:val="000D5AE1"/>
    <w:rsid w:val="000D5D88"/>
    <w:rsid w:val="000D5D9E"/>
    <w:rsid w:val="000D6175"/>
    <w:rsid w:val="000D6280"/>
    <w:rsid w:val="000D6DFF"/>
    <w:rsid w:val="000D7422"/>
    <w:rsid w:val="000D74AE"/>
    <w:rsid w:val="000D7BD6"/>
    <w:rsid w:val="000E0506"/>
    <w:rsid w:val="000E0726"/>
    <w:rsid w:val="000E0AA4"/>
    <w:rsid w:val="000E0C15"/>
    <w:rsid w:val="000E1126"/>
    <w:rsid w:val="000E1289"/>
    <w:rsid w:val="000E187E"/>
    <w:rsid w:val="000E3038"/>
    <w:rsid w:val="000E3455"/>
    <w:rsid w:val="000E36F3"/>
    <w:rsid w:val="000E3A57"/>
    <w:rsid w:val="000E3E12"/>
    <w:rsid w:val="000E4147"/>
    <w:rsid w:val="000E42EC"/>
    <w:rsid w:val="000E4B00"/>
    <w:rsid w:val="000E4EBE"/>
    <w:rsid w:val="000E5FAD"/>
    <w:rsid w:val="000E6350"/>
    <w:rsid w:val="000E7C77"/>
    <w:rsid w:val="000F0E6C"/>
    <w:rsid w:val="000F0F32"/>
    <w:rsid w:val="000F10A8"/>
    <w:rsid w:val="000F172A"/>
    <w:rsid w:val="000F1991"/>
    <w:rsid w:val="000F1D15"/>
    <w:rsid w:val="000F1DD6"/>
    <w:rsid w:val="000F2931"/>
    <w:rsid w:val="000F464D"/>
    <w:rsid w:val="000F6390"/>
    <w:rsid w:val="000F64A8"/>
    <w:rsid w:val="000F678A"/>
    <w:rsid w:val="000F67A8"/>
    <w:rsid w:val="000F69C7"/>
    <w:rsid w:val="000F6B38"/>
    <w:rsid w:val="00102758"/>
    <w:rsid w:val="0010282C"/>
    <w:rsid w:val="00102CC2"/>
    <w:rsid w:val="001031D1"/>
    <w:rsid w:val="001033ED"/>
    <w:rsid w:val="00104498"/>
    <w:rsid w:val="00107686"/>
    <w:rsid w:val="001076ED"/>
    <w:rsid w:val="00107A76"/>
    <w:rsid w:val="00107BE9"/>
    <w:rsid w:val="00107CFC"/>
    <w:rsid w:val="00107F6A"/>
    <w:rsid w:val="0011043D"/>
    <w:rsid w:val="00110604"/>
    <w:rsid w:val="0011067F"/>
    <w:rsid w:val="001106BF"/>
    <w:rsid w:val="00110A20"/>
    <w:rsid w:val="00110B87"/>
    <w:rsid w:val="0011119D"/>
    <w:rsid w:val="001115B7"/>
    <w:rsid w:val="00111DC5"/>
    <w:rsid w:val="00112543"/>
    <w:rsid w:val="001127F2"/>
    <w:rsid w:val="00112C71"/>
    <w:rsid w:val="00113308"/>
    <w:rsid w:val="001138A6"/>
    <w:rsid w:val="0011396F"/>
    <w:rsid w:val="00113EE0"/>
    <w:rsid w:val="001140D4"/>
    <w:rsid w:val="001147AF"/>
    <w:rsid w:val="00114958"/>
    <w:rsid w:val="00114982"/>
    <w:rsid w:val="00114B97"/>
    <w:rsid w:val="00114C27"/>
    <w:rsid w:val="001152E6"/>
    <w:rsid w:val="0011545F"/>
    <w:rsid w:val="00115FB8"/>
    <w:rsid w:val="0011676F"/>
    <w:rsid w:val="00117254"/>
    <w:rsid w:val="0011774C"/>
    <w:rsid w:val="00117E4D"/>
    <w:rsid w:val="00117E87"/>
    <w:rsid w:val="001200A8"/>
    <w:rsid w:val="0012074D"/>
    <w:rsid w:val="00120AE7"/>
    <w:rsid w:val="00120B47"/>
    <w:rsid w:val="00120BAB"/>
    <w:rsid w:val="00120BDB"/>
    <w:rsid w:val="00120F4B"/>
    <w:rsid w:val="0012178A"/>
    <w:rsid w:val="00121F7E"/>
    <w:rsid w:val="00122486"/>
    <w:rsid w:val="001228D7"/>
    <w:rsid w:val="00122A01"/>
    <w:rsid w:val="00124336"/>
    <w:rsid w:val="00124908"/>
    <w:rsid w:val="00124FBE"/>
    <w:rsid w:val="0012614E"/>
    <w:rsid w:val="00126A84"/>
    <w:rsid w:val="001270A6"/>
    <w:rsid w:val="00127298"/>
    <w:rsid w:val="00127997"/>
    <w:rsid w:val="00127CEC"/>
    <w:rsid w:val="00127E39"/>
    <w:rsid w:val="00127E94"/>
    <w:rsid w:val="0013026B"/>
    <w:rsid w:val="0013106D"/>
    <w:rsid w:val="001320F1"/>
    <w:rsid w:val="001326BE"/>
    <w:rsid w:val="00132E36"/>
    <w:rsid w:val="001330CD"/>
    <w:rsid w:val="00133123"/>
    <w:rsid w:val="0013413A"/>
    <w:rsid w:val="00134193"/>
    <w:rsid w:val="00134645"/>
    <w:rsid w:val="001346F6"/>
    <w:rsid w:val="00136093"/>
    <w:rsid w:val="00136EF1"/>
    <w:rsid w:val="00136EF3"/>
    <w:rsid w:val="0013732E"/>
    <w:rsid w:val="0013775A"/>
    <w:rsid w:val="00137969"/>
    <w:rsid w:val="00137B6F"/>
    <w:rsid w:val="001401C1"/>
    <w:rsid w:val="00140505"/>
    <w:rsid w:val="001405C5"/>
    <w:rsid w:val="00140B33"/>
    <w:rsid w:val="001415DD"/>
    <w:rsid w:val="00141F3B"/>
    <w:rsid w:val="001424B4"/>
    <w:rsid w:val="00142621"/>
    <w:rsid w:val="00142CE3"/>
    <w:rsid w:val="00143BA9"/>
    <w:rsid w:val="0014491F"/>
    <w:rsid w:val="001459EE"/>
    <w:rsid w:val="0014627E"/>
    <w:rsid w:val="001470B8"/>
    <w:rsid w:val="0015017D"/>
    <w:rsid w:val="0015034A"/>
    <w:rsid w:val="00150C69"/>
    <w:rsid w:val="00151578"/>
    <w:rsid w:val="00151A50"/>
    <w:rsid w:val="00151B39"/>
    <w:rsid w:val="00151BE6"/>
    <w:rsid w:val="00151DC2"/>
    <w:rsid w:val="00152C19"/>
    <w:rsid w:val="00153EA5"/>
    <w:rsid w:val="00154950"/>
    <w:rsid w:val="00155707"/>
    <w:rsid w:val="00155E7D"/>
    <w:rsid w:val="001567F5"/>
    <w:rsid w:val="0015736A"/>
    <w:rsid w:val="001575ED"/>
    <w:rsid w:val="001578CD"/>
    <w:rsid w:val="00160622"/>
    <w:rsid w:val="00160E15"/>
    <w:rsid w:val="00161B96"/>
    <w:rsid w:val="00161BBF"/>
    <w:rsid w:val="00161E6B"/>
    <w:rsid w:val="00162122"/>
    <w:rsid w:val="001624F8"/>
    <w:rsid w:val="001625FA"/>
    <w:rsid w:val="00162BAE"/>
    <w:rsid w:val="00163434"/>
    <w:rsid w:val="001635A5"/>
    <w:rsid w:val="001636E3"/>
    <w:rsid w:val="00164140"/>
    <w:rsid w:val="001647E0"/>
    <w:rsid w:val="0016482F"/>
    <w:rsid w:val="00164F12"/>
    <w:rsid w:val="00165E9D"/>
    <w:rsid w:val="00166463"/>
    <w:rsid w:val="001672CD"/>
    <w:rsid w:val="00167F1C"/>
    <w:rsid w:val="001709FC"/>
    <w:rsid w:val="001717F2"/>
    <w:rsid w:val="00171BCF"/>
    <w:rsid w:val="00172171"/>
    <w:rsid w:val="0017218C"/>
    <w:rsid w:val="00172341"/>
    <w:rsid w:val="001723B2"/>
    <w:rsid w:val="00172629"/>
    <w:rsid w:val="00172E77"/>
    <w:rsid w:val="00173118"/>
    <w:rsid w:val="00173E4A"/>
    <w:rsid w:val="00174534"/>
    <w:rsid w:val="001755CD"/>
    <w:rsid w:val="00176077"/>
    <w:rsid w:val="0017613B"/>
    <w:rsid w:val="00176EEF"/>
    <w:rsid w:val="001772EB"/>
    <w:rsid w:val="00177A64"/>
    <w:rsid w:val="00177B67"/>
    <w:rsid w:val="001803F0"/>
    <w:rsid w:val="00180E98"/>
    <w:rsid w:val="00180FFC"/>
    <w:rsid w:val="001814A9"/>
    <w:rsid w:val="00181982"/>
    <w:rsid w:val="00181F09"/>
    <w:rsid w:val="00182520"/>
    <w:rsid w:val="00182DA9"/>
    <w:rsid w:val="00182E4B"/>
    <w:rsid w:val="00183E7C"/>
    <w:rsid w:val="001840C3"/>
    <w:rsid w:val="001844C3"/>
    <w:rsid w:val="00184AFE"/>
    <w:rsid w:val="00184F76"/>
    <w:rsid w:val="001852AF"/>
    <w:rsid w:val="001856A0"/>
    <w:rsid w:val="00185840"/>
    <w:rsid w:val="00185936"/>
    <w:rsid w:val="00185D4D"/>
    <w:rsid w:val="001860FD"/>
    <w:rsid w:val="00186420"/>
    <w:rsid w:val="00186813"/>
    <w:rsid w:val="00186B69"/>
    <w:rsid w:val="00186EE1"/>
    <w:rsid w:val="00187056"/>
    <w:rsid w:val="001872B3"/>
    <w:rsid w:val="0018752C"/>
    <w:rsid w:val="00187814"/>
    <w:rsid w:val="00190C95"/>
    <w:rsid w:val="00191F8E"/>
    <w:rsid w:val="00192244"/>
    <w:rsid w:val="00192787"/>
    <w:rsid w:val="00192887"/>
    <w:rsid w:val="00192D37"/>
    <w:rsid w:val="00192FD8"/>
    <w:rsid w:val="001930E3"/>
    <w:rsid w:val="00193B26"/>
    <w:rsid w:val="00193F8C"/>
    <w:rsid w:val="001949F9"/>
    <w:rsid w:val="00194A1C"/>
    <w:rsid w:val="00194F4F"/>
    <w:rsid w:val="00194FD3"/>
    <w:rsid w:val="001952BF"/>
    <w:rsid w:val="00195B58"/>
    <w:rsid w:val="0019617F"/>
    <w:rsid w:val="00196CBF"/>
    <w:rsid w:val="00197162"/>
    <w:rsid w:val="001975D0"/>
    <w:rsid w:val="001A00D7"/>
    <w:rsid w:val="001A01C1"/>
    <w:rsid w:val="001A0BB1"/>
    <w:rsid w:val="001A15C2"/>
    <w:rsid w:val="001A176B"/>
    <w:rsid w:val="001A1B92"/>
    <w:rsid w:val="001A2AC2"/>
    <w:rsid w:val="001A2B0F"/>
    <w:rsid w:val="001A2CBB"/>
    <w:rsid w:val="001A2EE0"/>
    <w:rsid w:val="001A3011"/>
    <w:rsid w:val="001A3687"/>
    <w:rsid w:val="001A39F1"/>
    <w:rsid w:val="001A4065"/>
    <w:rsid w:val="001A579E"/>
    <w:rsid w:val="001A5F52"/>
    <w:rsid w:val="001A6E7E"/>
    <w:rsid w:val="001A74CA"/>
    <w:rsid w:val="001A77C9"/>
    <w:rsid w:val="001A7EAB"/>
    <w:rsid w:val="001B01A8"/>
    <w:rsid w:val="001B0359"/>
    <w:rsid w:val="001B055A"/>
    <w:rsid w:val="001B12C8"/>
    <w:rsid w:val="001B1D0A"/>
    <w:rsid w:val="001B24C2"/>
    <w:rsid w:val="001B2672"/>
    <w:rsid w:val="001B2A94"/>
    <w:rsid w:val="001B2AB2"/>
    <w:rsid w:val="001B3265"/>
    <w:rsid w:val="001B3F98"/>
    <w:rsid w:val="001B40EF"/>
    <w:rsid w:val="001B4DA9"/>
    <w:rsid w:val="001B4F2F"/>
    <w:rsid w:val="001B56C9"/>
    <w:rsid w:val="001B58A3"/>
    <w:rsid w:val="001B6C4B"/>
    <w:rsid w:val="001B71F8"/>
    <w:rsid w:val="001B76D0"/>
    <w:rsid w:val="001C065E"/>
    <w:rsid w:val="001C0C1F"/>
    <w:rsid w:val="001C0C8A"/>
    <w:rsid w:val="001C0D42"/>
    <w:rsid w:val="001C1542"/>
    <w:rsid w:val="001C171C"/>
    <w:rsid w:val="001C1C23"/>
    <w:rsid w:val="001C2547"/>
    <w:rsid w:val="001C25E8"/>
    <w:rsid w:val="001C273D"/>
    <w:rsid w:val="001C2C32"/>
    <w:rsid w:val="001C2DD1"/>
    <w:rsid w:val="001C2EB1"/>
    <w:rsid w:val="001C3480"/>
    <w:rsid w:val="001C3546"/>
    <w:rsid w:val="001C3910"/>
    <w:rsid w:val="001C3955"/>
    <w:rsid w:val="001C4EDB"/>
    <w:rsid w:val="001C566A"/>
    <w:rsid w:val="001C670A"/>
    <w:rsid w:val="001D0A8A"/>
    <w:rsid w:val="001D0FA4"/>
    <w:rsid w:val="001D1CAE"/>
    <w:rsid w:val="001D2888"/>
    <w:rsid w:val="001D3112"/>
    <w:rsid w:val="001D3274"/>
    <w:rsid w:val="001D3CC9"/>
    <w:rsid w:val="001D4231"/>
    <w:rsid w:val="001D457A"/>
    <w:rsid w:val="001D476C"/>
    <w:rsid w:val="001D552E"/>
    <w:rsid w:val="001D55F9"/>
    <w:rsid w:val="001D58EE"/>
    <w:rsid w:val="001D6216"/>
    <w:rsid w:val="001D644B"/>
    <w:rsid w:val="001D668A"/>
    <w:rsid w:val="001D688A"/>
    <w:rsid w:val="001D7A41"/>
    <w:rsid w:val="001D7BDA"/>
    <w:rsid w:val="001E0A12"/>
    <w:rsid w:val="001E0A14"/>
    <w:rsid w:val="001E1DA4"/>
    <w:rsid w:val="001E2188"/>
    <w:rsid w:val="001E26D3"/>
    <w:rsid w:val="001E3252"/>
    <w:rsid w:val="001E38D0"/>
    <w:rsid w:val="001E4FC6"/>
    <w:rsid w:val="001E5817"/>
    <w:rsid w:val="001E6750"/>
    <w:rsid w:val="001E7396"/>
    <w:rsid w:val="001E7540"/>
    <w:rsid w:val="001E7C73"/>
    <w:rsid w:val="001F0357"/>
    <w:rsid w:val="001F03D0"/>
    <w:rsid w:val="001F0429"/>
    <w:rsid w:val="001F078F"/>
    <w:rsid w:val="001F0983"/>
    <w:rsid w:val="001F1357"/>
    <w:rsid w:val="001F16FF"/>
    <w:rsid w:val="001F1AEE"/>
    <w:rsid w:val="001F22C0"/>
    <w:rsid w:val="001F241B"/>
    <w:rsid w:val="001F281D"/>
    <w:rsid w:val="001F287A"/>
    <w:rsid w:val="001F2A5B"/>
    <w:rsid w:val="001F2BA2"/>
    <w:rsid w:val="001F359F"/>
    <w:rsid w:val="001F3B7A"/>
    <w:rsid w:val="001F3D57"/>
    <w:rsid w:val="001F413F"/>
    <w:rsid w:val="001F53BA"/>
    <w:rsid w:val="001F5567"/>
    <w:rsid w:val="001F58E9"/>
    <w:rsid w:val="001F6589"/>
    <w:rsid w:val="001F6BB1"/>
    <w:rsid w:val="001F6C09"/>
    <w:rsid w:val="001F70C0"/>
    <w:rsid w:val="001F7298"/>
    <w:rsid w:val="001F74E1"/>
    <w:rsid w:val="001F7F89"/>
    <w:rsid w:val="00200B86"/>
    <w:rsid w:val="00200C03"/>
    <w:rsid w:val="002010C2"/>
    <w:rsid w:val="002029F8"/>
    <w:rsid w:val="00202F63"/>
    <w:rsid w:val="00203C20"/>
    <w:rsid w:val="00203FCD"/>
    <w:rsid w:val="00204492"/>
    <w:rsid w:val="00204496"/>
    <w:rsid w:val="00204E91"/>
    <w:rsid w:val="002050D8"/>
    <w:rsid w:val="00205209"/>
    <w:rsid w:val="00205B3E"/>
    <w:rsid w:val="00205EC4"/>
    <w:rsid w:val="00206BAD"/>
    <w:rsid w:val="0020729F"/>
    <w:rsid w:val="00207DD6"/>
    <w:rsid w:val="00207E02"/>
    <w:rsid w:val="00210223"/>
    <w:rsid w:val="002109DD"/>
    <w:rsid w:val="00210B9A"/>
    <w:rsid w:val="00210BEE"/>
    <w:rsid w:val="0021127D"/>
    <w:rsid w:val="00211435"/>
    <w:rsid w:val="00211496"/>
    <w:rsid w:val="00211C2A"/>
    <w:rsid w:val="00211E15"/>
    <w:rsid w:val="00212991"/>
    <w:rsid w:val="002130DE"/>
    <w:rsid w:val="00213408"/>
    <w:rsid w:val="002137E0"/>
    <w:rsid w:val="00213914"/>
    <w:rsid w:val="00213A27"/>
    <w:rsid w:val="00214D47"/>
    <w:rsid w:val="00215D8F"/>
    <w:rsid w:val="00215ECC"/>
    <w:rsid w:val="0021603A"/>
    <w:rsid w:val="0021776B"/>
    <w:rsid w:val="0021776C"/>
    <w:rsid w:val="002215E5"/>
    <w:rsid w:val="002216CC"/>
    <w:rsid w:val="002217FD"/>
    <w:rsid w:val="00221A0E"/>
    <w:rsid w:val="00221A6C"/>
    <w:rsid w:val="00221B8D"/>
    <w:rsid w:val="00221DF3"/>
    <w:rsid w:val="00222AE5"/>
    <w:rsid w:val="00222EC0"/>
    <w:rsid w:val="00222EDB"/>
    <w:rsid w:val="0022338F"/>
    <w:rsid w:val="00224F0E"/>
    <w:rsid w:val="0022510A"/>
    <w:rsid w:val="002269D4"/>
    <w:rsid w:val="00226E13"/>
    <w:rsid w:val="00227064"/>
    <w:rsid w:val="0022706B"/>
    <w:rsid w:val="00227293"/>
    <w:rsid w:val="00227699"/>
    <w:rsid w:val="002278B2"/>
    <w:rsid w:val="002303E5"/>
    <w:rsid w:val="0023057A"/>
    <w:rsid w:val="00230772"/>
    <w:rsid w:val="00230DC5"/>
    <w:rsid w:val="00231B71"/>
    <w:rsid w:val="00231C54"/>
    <w:rsid w:val="00232205"/>
    <w:rsid w:val="0023238B"/>
    <w:rsid w:val="00232632"/>
    <w:rsid w:val="00232EDD"/>
    <w:rsid w:val="00234818"/>
    <w:rsid w:val="00234F35"/>
    <w:rsid w:val="00235258"/>
    <w:rsid w:val="002354FD"/>
    <w:rsid w:val="0023583D"/>
    <w:rsid w:val="00235B63"/>
    <w:rsid w:val="00235D72"/>
    <w:rsid w:val="00236275"/>
    <w:rsid w:val="00236548"/>
    <w:rsid w:val="00236F03"/>
    <w:rsid w:val="002370AE"/>
    <w:rsid w:val="00237CA5"/>
    <w:rsid w:val="00240396"/>
    <w:rsid w:val="002407FA"/>
    <w:rsid w:val="00241516"/>
    <w:rsid w:val="002419AB"/>
    <w:rsid w:val="00241C77"/>
    <w:rsid w:val="00241F13"/>
    <w:rsid w:val="0024254A"/>
    <w:rsid w:val="002427FD"/>
    <w:rsid w:val="00244B21"/>
    <w:rsid w:val="00244BA0"/>
    <w:rsid w:val="0024580A"/>
    <w:rsid w:val="00245B83"/>
    <w:rsid w:val="00246200"/>
    <w:rsid w:val="002464A3"/>
    <w:rsid w:val="002470CC"/>
    <w:rsid w:val="00247193"/>
    <w:rsid w:val="00247617"/>
    <w:rsid w:val="00247651"/>
    <w:rsid w:val="0024776B"/>
    <w:rsid w:val="00247D00"/>
    <w:rsid w:val="00247E2B"/>
    <w:rsid w:val="00247F75"/>
    <w:rsid w:val="00250873"/>
    <w:rsid w:val="00250F9B"/>
    <w:rsid w:val="0025122B"/>
    <w:rsid w:val="00251240"/>
    <w:rsid w:val="002514A8"/>
    <w:rsid w:val="002514D0"/>
    <w:rsid w:val="00251709"/>
    <w:rsid w:val="00251766"/>
    <w:rsid w:val="002520FB"/>
    <w:rsid w:val="0025225E"/>
    <w:rsid w:val="00252815"/>
    <w:rsid w:val="00252B50"/>
    <w:rsid w:val="00252FAD"/>
    <w:rsid w:val="00253530"/>
    <w:rsid w:val="00253569"/>
    <w:rsid w:val="00253E05"/>
    <w:rsid w:val="00253EBA"/>
    <w:rsid w:val="00254199"/>
    <w:rsid w:val="0025458B"/>
    <w:rsid w:val="00254BFF"/>
    <w:rsid w:val="002552C7"/>
    <w:rsid w:val="0025536A"/>
    <w:rsid w:val="00255592"/>
    <w:rsid w:val="002558FB"/>
    <w:rsid w:val="00256173"/>
    <w:rsid w:val="002564CB"/>
    <w:rsid w:val="00256897"/>
    <w:rsid w:val="00256BE6"/>
    <w:rsid w:val="00256D3D"/>
    <w:rsid w:val="00257403"/>
    <w:rsid w:val="002579AA"/>
    <w:rsid w:val="00257A8E"/>
    <w:rsid w:val="002601A4"/>
    <w:rsid w:val="00260D30"/>
    <w:rsid w:val="00261B2A"/>
    <w:rsid w:val="00261C72"/>
    <w:rsid w:val="00263532"/>
    <w:rsid w:val="002636CE"/>
    <w:rsid w:val="00263DF5"/>
    <w:rsid w:val="00264170"/>
    <w:rsid w:val="002649F3"/>
    <w:rsid w:val="00264AB6"/>
    <w:rsid w:val="0026540E"/>
    <w:rsid w:val="0026574A"/>
    <w:rsid w:val="00265887"/>
    <w:rsid w:val="00265E40"/>
    <w:rsid w:val="00265FEA"/>
    <w:rsid w:val="00266AB8"/>
    <w:rsid w:val="002675BC"/>
    <w:rsid w:val="0027063D"/>
    <w:rsid w:val="002706E9"/>
    <w:rsid w:val="00270B45"/>
    <w:rsid w:val="00270EAE"/>
    <w:rsid w:val="00270F40"/>
    <w:rsid w:val="002718C5"/>
    <w:rsid w:val="00271C81"/>
    <w:rsid w:val="00271CA9"/>
    <w:rsid w:val="00272292"/>
    <w:rsid w:val="0027232D"/>
    <w:rsid w:val="002723CA"/>
    <w:rsid w:val="00273FB4"/>
    <w:rsid w:val="0027461E"/>
    <w:rsid w:val="00275CE3"/>
    <w:rsid w:val="00275D35"/>
    <w:rsid w:val="002760C7"/>
    <w:rsid w:val="002760DE"/>
    <w:rsid w:val="00276540"/>
    <w:rsid w:val="00277487"/>
    <w:rsid w:val="00277C45"/>
    <w:rsid w:val="0028010D"/>
    <w:rsid w:val="00280407"/>
    <w:rsid w:val="00280C2D"/>
    <w:rsid w:val="00280CDF"/>
    <w:rsid w:val="00280DBD"/>
    <w:rsid w:val="002811E7"/>
    <w:rsid w:val="00282650"/>
    <w:rsid w:val="00282807"/>
    <w:rsid w:val="00282AC3"/>
    <w:rsid w:val="00282AF6"/>
    <w:rsid w:val="002839D6"/>
    <w:rsid w:val="00283A81"/>
    <w:rsid w:val="00283D71"/>
    <w:rsid w:val="002844D2"/>
    <w:rsid w:val="002846DD"/>
    <w:rsid w:val="0028538D"/>
    <w:rsid w:val="00285AA3"/>
    <w:rsid w:val="00285C1D"/>
    <w:rsid w:val="00286F9C"/>
    <w:rsid w:val="00287776"/>
    <w:rsid w:val="002879BC"/>
    <w:rsid w:val="002904FF"/>
    <w:rsid w:val="00290C79"/>
    <w:rsid w:val="00290EE9"/>
    <w:rsid w:val="00291400"/>
    <w:rsid w:val="00291B13"/>
    <w:rsid w:val="00292454"/>
    <w:rsid w:val="0029271B"/>
    <w:rsid w:val="00292767"/>
    <w:rsid w:val="00293ABF"/>
    <w:rsid w:val="00294759"/>
    <w:rsid w:val="00294860"/>
    <w:rsid w:val="002948FC"/>
    <w:rsid w:val="00294A84"/>
    <w:rsid w:val="00294D7E"/>
    <w:rsid w:val="002950CE"/>
    <w:rsid w:val="00295177"/>
    <w:rsid w:val="00295366"/>
    <w:rsid w:val="00296267"/>
    <w:rsid w:val="00296679"/>
    <w:rsid w:val="0029776C"/>
    <w:rsid w:val="00297E8B"/>
    <w:rsid w:val="002A0B8B"/>
    <w:rsid w:val="002A0BD5"/>
    <w:rsid w:val="002A0EC8"/>
    <w:rsid w:val="002A0FA7"/>
    <w:rsid w:val="002A1196"/>
    <w:rsid w:val="002A1F84"/>
    <w:rsid w:val="002A21A5"/>
    <w:rsid w:val="002A21D3"/>
    <w:rsid w:val="002A222C"/>
    <w:rsid w:val="002A279C"/>
    <w:rsid w:val="002A27FF"/>
    <w:rsid w:val="002A3DBA"/>
    <w:rsid w:val="002A44E0"/>
    <w:rsid w:val="002A534E"/>
    <w:rsid w:val="002A5E50"/>
    <w:rsid w:val="002A75FA"/>
    <w:rsid w:val="002A796A"/>
    <w:rsid w:val="002B0509"/>
    <w:rsid w:val="002B0704"/>
    <w:rsid w:val="002B0C4F"/>
    <w:rsid w:val="002B134D"/>
    <w:rsid w:val="002B1534"/>
    <w:rsid w:val="002B204C"/>
    <w:rsid w:val="002B3C4A"/>
    <w:rsid w:val="002B3E0B"/>
    <w:rsid w:val="002B3E8E"/>
    <w:rsid w:val="002B413A"/>
    <w:rsid w:val="002B434F"/>
    <w:rsid w:val="002B4719"/>
    <w:rsid w:val="002B49B9"/>
    <w:rsid w:val="002B54A9"/>
    <w:rsid w:val="002B5ABB"/>
    <w:rsid w:val="002B5BB6"/>
    <w:rsid w:val="002B67B8"/>
    <w:rsid w:val="002B695E"/>
    <w:rsid w:val="002C02C6"/>
    <w:rsid w:val="002C05FB"/>
    <w:rsid w:val="002C0934"/>
    <w:rsid w:val="002C0A32"/>
    <w:rsid w:val="002C18DA"/>
    <w:rsid w:val="002C1B56"/>
    <w:rsid w:val="002C23B1"/>
    <w:rsid w:val="002C2574"/>
    <w:rsid w:val="002C2581"/>
    <w:rsid w:val="002C2DD7"/>
    <w:rsid w:val="002C3B9F"/>
    <w:rsid w:val="002C3BB5"/>
    <w:rsid w:val="002C4D7E"/>
    <w:rsid w:val="002C4DD0"/>
    <w:rsid w:val="002C4FFD"/>
    <w:rsid w:val="002C522F"/>
    <w:rsid w:val="002C56DA"/>
    <w:rsid w:val="002C5E2C"/>
    <w:rsid w:val="002C69FE"/>
    <w:rsid w:val="002C6DD6"/>
    <w:rsid w:val="002C7A5E"/>
    <w:rsid w:val="002D0B54"/>
    <w:rsid w:val="002D12FC"/>
    <w:rsid w:val="002D1DAA"/>
    <w:rsid w:val="002D1F42"/>
    <w:rsid w:val="002D2134"/>
    <w:rsid w:val="002D25A1"/>
    <w:rsid w:val="002D26E9"/>
    <w:rsid w:val="002D3059"/>
    <w:rsid w:val="002D3351"/>
    <w:rsid w:val="002D353E"/>
    <w:rsid w:val="002D395B"/>
    <w:rsid w:val="002D3DAE"/>
    <w:rsid w:val="002D431B"/>
    <w:rsid w:val="002D4947"/>
    <w:rsid w:val="002D4C61"/>
    <w:rsid w:val="002D5A81"/>
    <w:rsid w:val="002D6BB7"/>
    <w:rsid w:val="002D6E28"/>
    <w:rsid w:val="002D6ECB"/>
    <w:rsid w:val="002D6F65"/>
    <w:rsid w:val="002D717B"/>
    <w:rsid w:val="002D76D7"/>
    <w:rsid w:val="002D7864"/>
    <w:rsid w:val="002D7B1B"/>
    <w:rsid w:val="002D7DED"/>
    <w:rsid w:val="002E0234"/>
    <w:rsid w:val="002E07FD"/>
    <w:rsid w:val="002E09FF"/>
    <w:rsid w:val="002E0C4B"/>
    <w:rsid w:val="002E109C"/>
    <w:rsid w:val="002E13A5"/>
    <w:rsid w:val="002E1C04"/>
    <w:rsid w:val="002E2620"/>
    <w:rsid w:val="002E26CF"/>
    <w:rsid w:val="002E274D"/>
    <w:rsid w:val="002E2942"/>
    <w:rsid w:val="002E358E"/>
    <w:rsid w:val="002E3876"/>
    <w:rsid w:val="002E3A21"/>
    <w:rsid w:val="002E3F8A"/>
    <w:rsid w:val="002E40DF"/>
    <w:rsid w:val="002E41CC"/>
    <w:rsid w:val="002E4385"/>
    <w:rsid w:val="002E48F0"/>
    <w:rsid w:val="002E4E09"/>
    <w:rsid w:val="002E4E8B"/>
    <w:rsid w:val="002E62D6"/>
    <w:rsid w:val="002E668A"/>
    <w:rsid w:val="002E7012"/>
    <w:rsid w:val="002E7C1B"/>
    <w:rsid w:val="002E7E6F"/>
    <w:rsid w:val="002F0250"/>
    <w:rsid w:val="002F0AA8"/>
    <w:rsid w:val="002F1915"/>
    <w:rsid w:val="002F2F11"/>
    <w:rsid w:val="002F2FC1"/>
    <w:rsid w:val="002F30A0"/>
    <w:rsid w:val="002F3535"/>
    <w:rsid w:val="002F364B"/>
    <w:rsid w:val="002F36C4"/>
    <w:rsid w:val="002F484B"/>
    <w:rsid w:val="002F50CE"/>
    <w:rsid w:val="002F5BAF"/>
    <w:rsid w:val="002F5C0D"/>
    <w:rsid w:val="002F6017"/>
    <w:rsid w:val="002F637C"/>
    <w:rsid w:val="002F6ED6"/>
    <w:rsid w:val="002F76DF"/>
    <w:rsid w:val="002F782C"/>
    <w:rsid w:val="00300810"/>
    <w:rsid w:val="003008D0"/>
    <w:rsid w:val="00300B37"/>
    <w:rsid w:val="0030107E"/>
    <w:rsid w:val="00301ACE"/>
    <w:rsid w:val="00301BFC"/>
    <w:rsid w:val="00301EB5"/>
    <w:rsid w:val="00303907"/>
    <w:rsid w:val="00303F7E"/>
    <w:rsid w:val="00304296"/>
    <w:rsid w:val="003049EB"/>
    <w:rsid w:val="00304FE7"/>
    <w:rsid w:val="00305473"/>
    <w:rsid w:val="003054EA"/>
    <w:rsid w:val="00305DCB"/>
    <w:rsid w:val="00305E40"/>
    <w:rsid w:val="003062E5"/>
    <w:rsid w:val="00306BE9"/>
    <w:rsid w:val="00306C0E"/>
    <w:rsid w:val="00306CB5"/>
    <w:rsid w:val="00306FB4"/>
    <w:rsid w:val="00307A71"/>
    <w:rsid w:val="00307E51"/>
    <w:rsid w:val="0031033A"/>
    <w:rsid w:val="003108CF"/>
    <w:rsid w:val="00310998"/>
    <w:rsid w:val="00310D37"/>
    <w:rsid w:val="0031125E"/>
    <w:rsid w:val="00311B9E"/>
    <w:rsid w:val="00312170"/>
    <w:rsid w:val="0031285C"/>
    <w:rsid w:val="0031370E"/>
    <w:rsid w:val="00313DC8"/>
    <w:rsid w:val="00314377"/>
    <w:rsid w:val="00314BD6"/>
    <w:rsid w:val="00315348"/>
    <w:rsid w:val="003154F5"/>
    <w:rsid w:val="00315612"/>
    <w:rsid w:val="00315F9D"/>
    <w:rsid w:val="003164FE"/>
    <w:rsid w:val="00316EA9"/>
    <w:rsid w:val="003172B2"/>
    <w:rsid w:val="0031736A"/>
    <w:rsid w:val="003173ED"/>
    <w:rsid w:val="00317856"/>
    <w:rsid w:val="003179DF"/>
    <w:rsid w:val="003201DD"/>
    <w:rsid w:val="0032029D"/>
    <w:rsid w:val="003206DF"/>
    <w:rsid w:val="003209E7"/>
    <w:rsid w:val="00321539"/>
    <w:rsid w:val="00322697"/>
    <w:rsid w:val="00322A04"/>
    <w:rsid w:val="00322AA6"/>
    <w:rsid w:val="00323116"/>
    <w:rsid w:val="00323F74"/>
    <w:rsid w:val="00323F92"/>
    <w:rsid w:val="0032433C"/>
    <w:rsid w:val="00324C8F"/>
    <w:rsid w:val="00326671"/>
    <w:rsid w:val="003269A7"/>
    <w:rsid w:val="00326B3A"/>
    <w:rsid w:val="00326E73"/>
    <w:rsid w:val="003276E3"/>
    <w:rsid w:val="00327721"/>
    <w:rsid w:val="00327921"/>
    <w:rsid w:val="003301AC"/>
    <w:rsid w:val="00330710"/>
    <w:rsid w:val="00330917"/>
    <w:rsid w:val="00330B86"/>
    <w:rsid w:val="003315F7"/>
    <w:rsid w:val="00331DC4"/>
    <w:rsid w:val="00332F20"/>
    <w:rsid w:val="00333281"/>
    <w:rsid w:val="00333394"/>
    <w:rsid w:val="00333437"/>
    <w:rsid w:val="00334BF7"/>
    <w:rsid w:val="00334E86"/>
    <w:rsid w:val="003354AB"/>
    <w:rsid w:val="00335704"/>
    <w:rsid w:val="00335AED"/>
    <w:rsid w:val="00335E79"/>
    <w:rsid w:val="003369BD"/>
    <w:rsid w:val="00336D9A"/>
    <w:rsid w:val="00337141"/>
    <w:rsid w:val="00337293"/>
    <w:rsid w:val="003372B6"/>
    <w:rsid w:val="00337600"/>
    <w:rsid w:val="00337752"/>
    <w:rsid w:val="00341301"/>
    <w:rsid w:val="003424FD"/>
    <w:rsid w:val="003438C7"/>
    <w:rsid w:val="003438F9"/>
    <w:rsid w:val="00343F85"/>
    <w:rsid w:val="00344908"/>
    <w:rsid w:val="00345671"/>
    <w:rsid w:val="00345CEC"/>
    <w:rsid w:val="00345CFA"/>
    <w:rsid w:val="00347234"/>
    <w:rsid w:val="003472A0"/>
    <w:rsid w:val="003478B5"/>
    <w:rsid w:val="003479AC"/>
    <w:rsid w:val="0035016E"/>
    <w:rsid w:val="00350C2C"/>
    <w:rsid w:val="00351445"/>
    <w:rsid w:val="0035176E"/>
    <w:rsid w:val="00351C19"/>
    <w:rsid w:val="003520EC"/>
    <w:rsid w:val="00352BA7"/>
    <w:rsid w:val="00352F52"/>
    <w:rsid w:val="0035419A"/>
    <w:rsid w:val="00354C80"/>
    <w:rsid w:val="00354D6F"/>
    <w:rsid w:val="00355069"/>
    <w:rsid w:val="00355100"/>
    <w:rsid w:val="00355BEA"/>
    <w:rsid w:val="00355D4D"/>
    <w:rsid w:val="00355F10"/>
    <w:rsid w:val="00355F79"/>
    <w:rsid w:val="0035602C"/>
    <w:rsid w:val="00356175"/>
    <w:rsid w:val="00356275"/>
    <w:rsid w:val="0035692A"/>
    <w:rsid w:val="00356A5A"/>
    <w:rsid w:val="00356E19"/>
    <w:rsid w:val="00357B4C"/>
    <w:rsid w:val="003601EF"/>
    <w:rsid w:val="00360324"/>
    <w:rsid w:val="003604C0"/>
    <w:rsid w:val="00360D93"/>
    <w:rsid w:val="00360E2C"/>
    <w:rsid w:val="003610F3"/>
    <w:rsid w:val="00362137"/>
    <w:rsid w:val="00362772"/>
    <w:rsid w:val="00362B0E"/>
    <w:rsid w:val="00362C20"/>
    <w:rsid w:val="00362F0A"/>
    <w:rsid w:val="0036314E"/>
    <w:rsid w:val="00363396"/>
    <w:rsid w:val="00364970"/>
    <w:rsid w:val="00364B15"/>
    <w:rsid w:val="00364EA2"/>
    <w:rsid w:val="00364F83"/>
    <w:rsid w:val="00365C66"/>
    <w:rsid w:val="003661CC"/>
    <w:rsid w:val="00366C06"/>
    <w:rsid w:val="00366EE6"/>
    <w:rsid w:val="00367454"/>
    <w:rsid w:val="003674E8"/>
    <w:rsid w:val="00367DDE"/>
    <w:rsid w:val="003701D9"/>
    <w:rsid w:val="003702C6"/>
    <w:rsid w:val="00370A91"/>
    <w:rsid w:val="0037143E"/>
    <w:rsid w:val="003716E6"/>
    <w:rsid w:val="00371F05"/>
    <w:rsid w:val="00371F90"/>
    <w:rsid w:val="00372063"/>
    <w:rsid w:val="0037222D"/>
    <w:rsid w:val="00372608"/>
    <w:rsid w:val="003729D9"/>
    <w:rsid w:val="00372B1F"/>
    <w:rsid w:val="00373082"/>
    <w:rsid w:val="00373636"/>
    <w:rsid w:val="00373820"/>
    <w:rsid w:val="00374026"/>
    <w:rsid w:val="003741C0"/>
    <w:rsid w:val="00374A6B"/>
    <w:rsid w:val="00374D94"/>
    <w:rsid w:val="0037539D"/>
    <w:rsid w:val="003759D1"/>
    <w:rsid w:val="00375D81"/>
    <w:rsid w:val="00376988"/>
    <w:rsid w:val="00376D52"/>
    <w:rsid w:val="00377AC7"/>
    <w:rsid w:val="00377C2E"/>
    <w:rsid w:val="00380421"/>
    <w:rsid w:val="003807F5"/>
    <w:rsid w:val="00381B68"/>
    <w:rsid w:val="0038294B"/>
    <w:rsid w:val="003839A2"/>
    <w:rsid w:val="00384000"/>
    <w:rsid w:val="00384446"/>
    <w:rsid w:val="00385017"/>
    <w:rsid w:val="003856BD"/>
    <w:rsid w:val="00385B07"/>
    <w:rsid w:val="00385F4D"/>
    <w:rsid w:val="00386988"/>
    <w:rsid w:val="00387895"/>
    <w:rsid w:val="0039084D"/>
    <w:rsid w:val="00392A8C"/>
    <w:rsid w:val="00393343"/>
    <w:rsid w:val="003968FE"/>
    <w:rsid w:val="00396DAC"/>
    <w:rsid w:val="003973F0"/>
    <w:rsid w:val="00397963"/>
    <w:rsid w:val="00397BAC"/>
    <w:rsid w:val="003A010D"/>
    <w:rsid w:val="003A0125"/>
    <w:rsid w:val="003A0202"/>
    <w:rsid w:val="003A0BAE"/>
    <w:rsid w:val="003A1218"/>
    <w:rsid w:val="003A1D2A"/>
    <w:rsid w:val="003A2901"/>
    <w:rsid w:val="003A29CF"/>
    <w:rsid w:val="003A313C"/>
    <w:rsid w:val="003A3565"/>
    <w:rsid w:val="003A3E12"/>
    <w:rsid w:val="003A436B"/>
    <w:rsid w:val="003A4431"/>
    <w:rsid w:val="003A4C0E"/>
    <w:rsid w:val="003A4DAD"/>
    <w:rsid w:val="003A54C1"/>
    <w:rsid w:val="003A55D1"/>
    <w:rsid w:val="003A57F1"/>
    <w:rsid w:val="003A59A5"/>
    <w:rsid w:val="003A5E32"/>
    <w:rsid w:val="003A6C31"/>
    <w:rsid w:val="003A703D"/>
    <w:rsid w:val="003A73FC"/>
    <w:rsid w:val="003A75F5"/>
    <w:rsid w:val="003B05E5"/>
    <w:rsid w:val="003B06EE"/>
    <w:rsid w:val="003B08D1"/>
    <w:rsid w:val="003B0F87"/>
    <w:rsid w:val="003B17EB"/>
    <w:rsid w:val="003B1D1B"/>
    <w:rsid w:val="003B1EBF"/>
    <w:rsid w:val="003B2087"/>
    <w:rsid w:val="003B224A"/>
    <w:rsid w:val="003B22B5"/>
    <w:rsid w:val="003B23CA"/>
    <w:rsid w:val="003B240E"/>
    <w:rsid w:val="003B2676"/>
    <w:rsid w:val="003B2C05"/>
    <w:rsid w:val="003B30B9"/>
    <w:rsid w:val="003B4504"/>
    <w:rsid w:val="003B45B8"/>
    <w:rsid w:val="003B4780"/>
    <w:rsid w:val="003B5532"/>
    <w:rsid w:val="003B5593"/>
    <w:rsid w:val="003B598C"/>
    <w:rsid w:val="003B5E55"/>
    <w:rsid w:val="003B5F26"/>
    <w:rsid w:val="003B6221"/>
    <w:rsid w:val="003B658E"/>
    <w:rsid w:val="003B6758"/>
    <w:rsid w:val="003B6837"/>
    <w:rsid w:val="003B6988"/>
    <w:rsid w:val="003B7214"/>
    <w:rsid w:val="003B72A1"/>
    <w:rsid w:val="003C082F"/>
    <w:rsid w:val="003C0DBF"/>
    <w:rsid w:val="003C0FBC"/>
    <w:rsid w:val="003C1047"/>
    <w:rsid w:val="003C10BB"/>
    <w:rsid w:val="003C1149"/>
    <w:rsid w:val="003C11BE"/>
    <w:rsid w:val="003C1214"/>
    <w:rsid w:val="003C138D"/>
    <w:rsid w:val="003C1562"/>
    <w:rsid w:val="003C1B3A"/>
    <w:rsid w:val="003C1F77"/>
    <w:rsid w:val="003C284D"/>
    <w:rsid w:val="003C333D"/>
    <w:rsid w:val="003C3846"/>
    <w:rsid w:val="003C3F99"/>
    <w:rsid w:val="003C465D"/>
    <w:rsid w:val="003C4A00"/>
    <w:rsid w:val="003C4B6D"/>
    <w:rsid w:val="003C4BF8"/>
    <w:rsid w:val="003C4EBB"/>
    <w:rsid w:val="003C59EF"/>
    <w:rsid w:val="003C689B"/>
    <w:rsid w:val="003C6E89"/>
    <w:rsid w:val="003C7322"/>
    <w:rsid w:val="003C7623"/>
    <w:rsid w:val="003C7A6A"/>
    <w:rsid w:val="003D0965"/>
    <w:rsid w:val="003D13CA"/>
    <w:rsid w:val="003D19D2"/>
    <w:rsid w:val="003D1A98"/>
    <w:rsid w:val="003D25F5"/>
    <w:rsid w:val="003D2F1A"/>
    <w:rsid w:val="003D30C7"/>
    <w:rsid w:val="003D3150"/>
    <w:rsid w:val="003D33AF"/>
    <w:rsid w:val="003D403E"/>
    <w:rsid w:val="003D4880"/>
    <w:rsid w:val="003D5018"/>
    <w:rsid w:val="003D5051"/>
    <w:rsid w:val="003D5222"/>
    <w:rsid w:val="003D5476"/>
    <w:rsid w:val="003D6423"/>
    <w:rsid w:val="003D66B8"/>
    <w:rsid w:val="003D6D54"/>
    <w:rsid w:val="003D6D8E"/>
    <w:rsid w:val="003D737A"/>
    <w:rsid w:val="003D7B2D"/>
    <w:rsid w:val="003E006C"/>
    <w:rsid w:val="003E09A8"/>
    <w:rsid w:val="003E09F4"/>
    <w:rsid w:val="003E0F20"/>
    <w:rsid w:val="003E11C7"/>
    <w:rsid w:val="003E1299"/>
    <w:rsid w:val="003E20EB"/>
    <w:rsid w:val="003E23FE"/>
    <w:rsid w:val="003E2C8B"/>
    <w:rsid w:val="003E357A"/>
    <w:rsid w:val="003E36E5"/>
    <w:rsid w:val="003E3A75"/>
    <w:rsid w:val="003E3DB1"/>
    <w:rsid w:val="003E3E89"/>
    <w:rsid w:val="003E4566"/>
    <w:rsid w:val="003E48B1"/>
    <w:rsid w:val="003E4B40"/>
    <w:rsid w:val="003E4C25"/>
    <w:rsid w:val="003E5672"/>
    <w:rsid w:val="003E58E3"/>
    <w:rsid w:val="003E5C94"/>
    <w:rsid w:val="003E5D53"/>
    <w:rsid w:val="003E5DE6"/>
    <w:rsid w:val="003E66C9"/>
    <w:rsid w:val="003E66FC"/>
    <w:rsid w:val="003E6B98"/>
    <w:rsid w:val="003E6D0B"/>
    <w:rsid w:val="003E6E1B"/>
    <w:rsid w:val="003E7174"/>
    <w:rsid w:val="003E7D2E"/>
    <w:rsid w:val="003E7EC8"/>
    <w:rsid w:val="003F09D7"/>
    <w:rsid w:val="003F0EB8"/>
    <w:rsid w:val="003F1A3B"/>
    <w:rsid w:val="003F1AC2"/>
    <w:rsid w:val="003F1C60"/>
    <w:rsid w:val="003F1E34"/>
    <w:rsid w:val="003F21E6"/>
    <w:rsid w:val="003F2373"/>
    <w:rsid w:val="003F2734"/>
    <w:rsid w:val="003F4A99"/>
    <w:rsid w:val="003F4FA6"/>
    <w:rsid w:val="003F55F6"/>
    <w:rsid w:val="003F5710"/>
    <w:rsid w:val="003F5883"/>
    <w:rsid w:val="003F5AA8"/>
    <w:rsid w:val="003F7214"/>
    <w:rsid w:val="003F7F0F"/>
    <w:rsid w:val="00400B8D"/>
    <w:rsid w:val="00400FE4"/>
    <w:rsid w:val="00401375"/>
    <w:rsid w:val="00401645"/>
    <w:rsid w:val="0040164E"/>
    <w:rsid w:val="00401974"/>
    <w:rsid w:val="004020DB"/>
    <w:rsid w:val="00402339"/>
    <w:rsid w:val="00403A34"/>
    <w:rsid w:val="0040444F"/>
    <w:rsid w:val="00405954"/>
    <w:rsid w:val="00405C58"/>
    <w:rsid w:val="00407073"/>
    <w:rsid w:val="00407248"/>
    <w:rsid w:val="004077DB"/>
    <w:rsid w:val="00407F8B"/>
    <w:rsid w:val="0041050E"/>
    <w:rsid w:val="00410754"/>
    <w:rsid w:val="00410CBB"/>
    <w:rsid w:val="004119BD"/>
    <w:rsid w:val="00412776"/>
    <w:rsid w:val="004129D9"/>
    <w:rsid w:val="00412E86"/>
    <w:rsid w:val="00414063"/>
    <w:rsid w:val="004141D9"/>
    <w:rsid w:val="00414688"/>
    <w:rsid w:val="00414DC9"/>
    <w:rsid w:val="0041524E"/>
    <w:rsid w:val="00415ED0"/>
    <w:rsid w:val="00416095"/>
    <w:rsid w:val="00416138"/>
    <w:rsid w:val="0041703B"/>
    <w:rsid w:val="004176B5"/>
    <w:rsid w:val="00417971"/>
    <w:rsid w:val="00420050"/>
    <w:rsid w:val="004203B1"/>
    <w:rsid w:val="0042072A"/>
    <w:rsid w:val="0042105E"/>
    <w:rsid w:val="00421B61"/>
    <w:rsid w:val="00421C52"/>
    <w:rsid w:val="004229BB"/>
    <w:rsid w:val="0042322D"/>
    <w:rsid w:val="0042376E"/>
    <w:rsid w:val="00423C44"/>
    <w:rsid w:val="00423F45"/>
    <w:rsid w:val="0042416E"/>
    <w:rsid w:val="00425204"/>
    <w:rsid w:val="004259DF"/>
    <w:rsid w:val="00425AFC"/>
    <w:rsid w:val="00426F15"/>
    <w:rsid w:val="00426F51"/>
    <w:rsid w:val="0042720C"/>
    <w:rsid w:val="00427506"/>
    <w:rsid w:val="00427843"/>
    <w:rsid w:val="00427967"/>
    <w:rsid w:val="00431634"/>
    <w:rsid w:val="004318AB"/>
    <w:rsid w:val="004319CF"/>
    <w:rsid w:val="004319D9"/>
    <w:rsid w:val="00431C51"/>
    <w:rsid w:val="004326B4"/>
    <w:rsid w:val="004330AC"/>
    <w:rsid w:val="004331BF"/>
    <w:rsid w:val="004334A9"/>
    <w:rsid w:val="00433520"/>
    <w:rsid w:val="0043375D"/>
    <w:rsid w:val="00434CCC"/>
    <w:rsid w:val="00434F79"/>
    <w:rsid w:val="00436245"/>
    <w:rsid w:val="00436C54"/>
    <w:rsid w:val="00436C8A"/>
    <w:rsid w:val="004375E9"/>
    <w:rsid w:val="00437641"/>
    <w:rsid w:val="00437795"/>
    <w:rsid w:val="004400C4"/>
    <w:rsid w:val="00440DF2"/>
    <w:rsid w:val="00441443"/>
    <w:rsid w:val="004418AF"/>
    <w:rsid w:val="004419A7"/>
    <w:rsid w:val="00441A49"/>
    <w:rsid w:val="00441E95"/>
    <w:rsid w:val="0044207D"/>
    <w:rsid w:val="00442088"/>
    <w:rsid w:val="004422BC"/>
    <w:rsid w:val="00442798"/>
    <w:rsid w:val="004433C5"/>
    <w:rsid w:val="004434B1"/>
    <w:rsid w:val="004445E1"/>
    <w:rsid w:val="0044489E"/>
    <w:rsid w:val="00444BE3"/>
    <w:rsid w:val="0044511D"/>
    <w:rsid w:val="00445230"/>
    <w:rsid w:val="004455C1"/>
    <w:rsid w:val="00445746"/>
    <w:rsid w:val="004466F7"/>
    <w:rsid w:val="00447B46"/>
    <w:rsid w:val="00450070"/>
    <w:rsid w:val="00450CE2"/>
    <w:rsid w:val="00451624"/>
    <w:rsid w:val="00451C69"/>
    <w:rsid w:val="00451D82"/>
    <w:rsid w:val="00452333"/>
    <w:rsid w:val="004527C7"/>
    <w:rsid w:val="00453589"/>
    <w:rsid w:val="00453966"/>
    <w:rsid w:val="00453A62"/>
    <w:rsid w:val="0045431F"/>
    <w:rsid w:val="00454F0F"/>
    <w:rsid w:val="00455740"/>
    <w:rsid w:val="00455BB6"/>
    <w:rsid w:val="004568B7"/>
    <w:rsid w:val="00456AE1"/>
    <w:rsid w:val="00457A40"/>
    <w:rsid w:val="00457E86"/>
    <w:rsid w:val="00460AC4"/>
    <w:rsid w:val="004616B3"/>
    <w:rsid w:val="004621C5"/>
    <w:rsid w:val="004628D6"/>
    <w:rsid w:val="00462F23"/>
    <w:rsid w:val="004631DC"/>
    <w:rsid w:val="00463256"/>
    <w:rsid w:val="004632A3"/>
    <w:rsid w:val="004634FC"/>
    <w:rsid w:val="0046395D"/>
    <w:rsid w:val="00463B29"/>
    <w:rsid w:val="0046426C"/>
    <w:rsid w:val="004644FF"/>
    <w:rsid w:val="00464837"/>
    <w:rsid w:val="00464DE6"/>
    <w:rsid w:val="0046518C"/>
    <w:rsid w:val="00465217"/>
    <w:rsid w:val="004652D7"/>
    <w:rsid w:val="00465D1F"/>
    <w:rsid w:val="00467225"/>
    <w:rsid w:val="004674E5"/>
    <w:rsid w:val="00467B25"/>
    <w:rsid w:val="00470C58"/>
    <w:rsid w:val="00470E6C"/>
    <w:rsid w:val="004711BE"/>
    <w:rsid w:val="004711D2"/>
    <w:rsid w:val="0047137E"/>
    <w:rsid w:val="004715FE"/>
    <w:rsid w:val="00471C73"/>
    <w:rsid w:val="00472230"/>
    <w:rsid w:val="0047264D"/>
    <w:rsid w:val="0047291A"/>
    <w:rsid w:val="0047412C"/>
    <w:rsid w:val="0047440D"/>
    <w:rsid w:val="00474F2E"/>
    <w:rsid w:val="004750C5"/>
    <w:rsid w:val="004755BD"/>
    <w:rsid w:val="00475B5A"/>
    <w:rsid w:val="00475CD4"/>
    <w:rsid w:val="00476122"/>
    <w:rsid w:val="00476FC9"/>
    <w:rsid w:val="00477265"/>
    <w:rsid w:val="0047727D"/>
    <w:rsid w:val="004772CE"/>
    <w:rsid w:val="004779E0"/>
    <w:rsid w:val="004803ED"/>
    <w:rsid w:val="00480491"/>
    <w:rsid w:val="00480626"/>
    <w:rsid w:val="00481439"/>
    <w:rsid w:val="004815C3"/>
    <w:rsid w:val="004818D4"/>
    <w:rsid w:val="00481B4D"/>
    <w:rsid w:val="00481CA3"/>
    <w:rsid w:val="00481EA6"/>
    <w:rsid w:val="004825F8"/>
    <w:rsid w:val="00482CB1"/>
    <w:rsid w:val="00483BD3"/>
    <w:rsid w:val="00484186"/>
    <w:rsid w:val="004842FF"/>
    <w:rsid w:val="00484C6D"/>
    <w:rsid w:val="0048554E"/>
    <w:rsid w:val="00485B70"/>
    <w:rsid w:val="004860B8"/>
    <w:rsid w:val="0048682E"/>
    <w:rsid w:val="00486E08"/>
    <w:rsid w:val="00487163"/>
    <w:rsid w:val="00487439"/>
    <w:rsid w:val="00487A81"/>
    <w:rsid w:val="00487CCD"/>
    <w:rsid w:val="00487FD0"/>
    <w:rsid w:val="00487FF7"/>
    <w:rsid w:val="00490857"/>
    <w:rsid w:val="004911A8"/>
    <w:rsid w:val="004913D3"/>
    <w:rsid w:val="00492165"/>
    <w:rsid w:val="00492518"/>
    <w:rsid w:val="004945B8"/>
    <w:rsid w:val="0049488C"/>
    <w:rsid w:val="00494FB0"/>
    <w:rsid w:val="00495036"/>
    <w:rsid w:val="0049507A"/>
    <w:rsid w:val="004953B9"/>
    <w:rsid w:val="00495D58"/>
    <w:rsid w:val="0049643D"/>
    <w:rsid w:val="0049687A"/>
    <w:rsid w:val="0049696A"/>
    <w:rsid w:val="00496C00"/>
    <w:rsid w:val="00496DB2"/>
    <w:rsid w:val="004976E2"/>
    <w:rsid w:val="00497AAB"/>
    <w:rsid w:val="00497BE7"/>
    <w:rsid w:val="004A06E5"/>
    <w:rsid w:val="004A1456"/>
    <w:rsid w:val="004A17C7"/>
    <w:rsid w:val="004A1807"/>
    <w:rsid w:val="004A1B87"/>
    <w:rsid w:val="004A1D08"/>
    <w:rsid w:val="004A215C"/>
    <w:rsid w:val="004A3A34"/>
    <w:rsid w:val="004A3A84"/>
    <w:rsid w:val="004A3CDA"/>
    <w:rsid w:val="004A4909"/>
    <w:rsid w:val="004A4AB8"/>
    <w:rsid w:val="004A4E01"/>
    <w:rsid w:val="004A502E"/>
    <w:rsid w:val="004A5BDF"/>
    <w:rsid w:val="004A6832"/>
    <w:rsid w:val="004A6F88"/>
    <w:rsid w:val="004A7104"/>
    <w:rsid w:val="004A77B2"/>
    <w:rsid w:val="004B158C"/>
    <w:rsid w:val="004B1675"/>
    <w:rsid w:val="004B197D"/>
    <w:rsid w:val="004B2C04"/>
    <w:rsid w:val="004B4246"/>
    <w:rsid w:val="004B4545"/>
    <w:rsid w:val="004B4C7A"/>
    <w:rsid w:val="004B53C3"/>
    <w:rsid w:val="004B59FF"/>
    <w:rsid w:val="004B6ED3"/>
    <w:rsid w:val="004B6F72"/>
    <w:rsid w:val="004B778A"/>
    <w:rsid w:val="004C0094"/>
    <w:rsid w:val="004C069B"/>
    <w:rsid w:val="004C0827"/>
    <w:rsid w:val="004C0B12"/>
    <w:rsid w:val="004C0C76"/>
    <w:rsid w:val="004C18FF"/>
    <w:rsid w:val="004C1906"/>
    <w:rsid w:val="004C1C6F"/>
    <w:rsid w:val="004C1EF3"/>
    <w:rsid w:val="004C2250"/>
    <w:rsid w:val="004C295B"/>
    <w:rsid w:val="004C296F"/>
    <w:rsid w:val="004C2A56"/>
    <w:rsid w:val="004C35B3"/>
    <w:rsid w:val="004C35FD"/>
    <w:rsid w:val="004C41DC"/>
    <w:rsid w:val="004C4B19"/>
    <w:rsid w:val="004C5045"/>
    <w:rsid w:val="004C55D3"/>
    <w:rsid w:val="004C6110"/>
    <w:rsid w:val="004C68D4"/>
    <w:rsid w:val="004C70BB"/>
    <w:rsid w:val="004C714B"/>
    <w:rsid w:val="004C7871"/>
    <w:rsid w:val="004C7A6D"/>
    <w:rsid w:val="004C7AC4"/>
    <w:rsid w:val="004C7FB9"/>
    <w:rsid w:val="004D0A7B"/>
    <w:rsid w:val="004D0C42"/>
    <w:rsid w:val="004D0CA1"/>
    <w:rsid w:val="004D2684"/>
    <w:rsid w:val="004D3208"/>
    <w:rsid w:val="004D3391"/>
    <w:rsid w:val="004D39DA"/>
    <w:rsid w:val="004D3B13"/>
    <w:rsid w:val="004D3C93"/>
    <w:rsid w:val="004D3CC5"/>
    <w:rsid w:val="004D3D69"/>
    <w:rsid w:val="004D43B4"/>
    <w:rsid w:val="004D4ACF"/>
    <w:rsid w:val="004D4EB7"/>
    <w:rsid w:val="004D52C6"/>
    <w:rsid w:val="004D537D"/>
    <w:rsid w:val="004D5E44"/>
    <w:rsid w:val="004D614B"/>
    <w:rsid w:val="004D6918"/>
    <w:rsid w:val="004D6F4B"/>
    <w:rsid w:val="004D6FEC"/>
    <w:rsid w:val="004E0168"/>
    <w:rsid w:val="004E0412"/>
    <w:rsid w:val="004E0E00"/>
    <w:rsid w:val="004E13DB"/>
    <w:rsid w:val="004E15C3"/>
    <w:rsid w:val="004E19BC"/>
    <w:rsid w:val="004E259E"/>
    <w:rsid w:val="004E2804"/>
    <w:rsid w:val="004E36EA"/>
    <w:rsid w:val="004E380E"/>
    <w:rsid w:val="004E40F1"/>
    <w:rsid w:val="004E4872"/>
    <w:rsid w:val="004E4CA4"/>
    <w:rsid w:val="004E5CEF"/>
    <w:rsid w:val="004E6B7B"/>
    <w:rsid w:val="004E6BC8"/>
    <w:rsid w:val="004E6C68"/>
    <w:rsid w:val="004E7BA4"/>
    <w:rsid w:val="004F077F"/>
    <w:rsid w:val="004F0AE1"/>
    <w:rsid w:val="004F1264"/>
    <w:rsid w:val="004F12D6"/>
    <w:rsid w:val="004F1458"/>
    <w:rsid w:val="004F1A59"/>
    <w:rsid w:val="004F1C28"/>
    <w:rsid w:val="004F1E04"/>
    <w:rsid w:val="004F23A8"/>
    <w:rsid w:val="004F2813"/>
    <w:rsid w:val="004F28CA"/>
    <w:rsid w:val="004F298F"/>
    <w:rsid w:val="004F2C82"/>
    <w:rsid w:val="004F2C9B"/>
    <w:rsid w:val="004F2CE2"/>
    <w:rsid w:val="004F2D14"/>
    <w:rsid w:val="004F3095"/>
    <w:rsid w:val="004F3CFE"/>
    <w:rsid w:val="004F3E0C"/>
    <w:rsid w:val="004F3E75"/>
    <w:rsid w:val="004F4033"/>
    <w:rsid w:val="004F45D4"/>
    <w:rsid w:val="004F4719"/>
    <w:rsid w:val="004F4AFD"/>
    <w:rsid w:val="004F4E13"/>
    <w:rsid w:val="004F58AB"/>
    <w:rsid w:val="004F5C8B"/>
    <w:rsid w:val="004F5EE0"/>
    <w:rsid w:val="004F5FE0"/>
    <w:rsid w:val="004F6AD7"/>
    <w:rsid w:val="004F7E66"/>
    <w:rsid w:val="00500124"/>
    <w:rsid w:val="00500609"/>
    <w:rsid w:val="00500DCF"/>
    <w:rsid w:val="0050126B"/>
    <w:rsid w:val="00501947"/>
    <w:rsid w:val="00501CC4"/>
    <w:rsid w:val="00501E99"/>
    <w:rsid w:val="00501E9C"/>
    <w:rsid w:val="00502B20"/>
    <w:rsid w:val="005031F7"/>
    <w:rsid w:val="00503880"/>
    <w:rsid w:val="005039D8"/>
    <w:rsid w:val="00504015"/>
    <w:rsid w:val="005042C1"/>
    <w:rsid w:val="00504338"/>
    <w:rsid w:val="005048C6"/>
    <w:rsid w:val="00504CA0"/>
    <w:rsid w:val="0050515F"/>
    <w:rsid w:val="00505733"/>
    <w:rsid w:val="005067E2"/>
    <w:rsid w:val="00507147"/>
    <w:rsid w:val="00507E78"/>
    <w:rsid w:val="005110C4"/>
    <w:rsid w:val="005111BC"/>
    <w:rsid w:val="005120E6"/>
    <w:rsid w:val="00512858"/>
    <w:rsid w:val="00512FFE"/>
    <w:rsid w:val="00513409"/>
    <w:rsid w:val="00513C6B"/>
    <w:rsid w:val="00514106"/>
    <w:rsid w:val="0051432F"/>
    <w:rsid w:val="0051435F"/>
    <w:rsid w:val="00514690"/>
    <w:rsid w:val="0051497A"/>
    <w:rsid w:val="0051517C"/>
    <w:rsid w:val="00515CEB"/>
    <w:rsid w:val="0051612C"/>
    <w:rsid w:val="00516888"/>
    <w:rsid w:val="00516977"/>
    <w:rsid w:val="005173D9"/>
    <w:rsid w:val="00517A2C"/>
    <w:rsid w:val="00517D8A"/>
    <w:rsid w:val="005204BB"/>
    <w:rsid w:val="00520A43"/>
    <w:rsid w:val="00520B40"/>
    <w:rsid w:val="00520CB2"/>
    <w:rsid w:val="005214DF"/>
    <w:rsid w:val="005218B5"/>
    <w:rsid w:val="00521937"/>
    <w:rsid w:val="00521E79"/>
    <w:rsid w:val="005229C2"/>
    <w:rsid w:val="00522C3E"/>
    <w:rsid w:val="0052300A"/>
    <w:rsid w:val="005240F7"/>
    <w:rsid w:val="005241F5"/>
    <w:rsid w:val="0052462A"/>
    <w:rsid w:val="005248ED"/>
    <w:rsid w:val="00524A9B"/>
    <w:rsid w:val="00524AAD"/>
    <w:rsid w:val="005253E2"/>
    <w:rsid w:val="00525BC0"/>
    <w:rsid w:val="00526794"/>
    <w:rsid w:val="00526841"/>
    <w:rsid w:val="0052691D"/>
    <w:rsid w:val="005270F6"/>
    <w:rsid w:val="005271CC"/>
    <w:rsid w:val="00527201"/>
    <w:rsid w:val="00527A8E"/>
    <w:rsid w:val="00527E7F"/>
    <w:rsid w:val="00527FDB"/>
    <w:rsid w:val="00530729"/>
    <w:rsid w:val="00530A37"/>
    <w:rsid w:val="00530B54"/>
    <w:rsid w:val="00530BD8"/>
    <w:rsid w:val="00532528"/>
    <w:rsid w:val="00532550"/>
    <w:rsid w:val="0053267F"/>
    <w:rsid w:val="005329CD"/>
    <w:rsid w:val="005341B6"/>
    <w:rsid w:val="0053456B"/>
    <w:rsid w:val="00534694"/>
    <w:rsid w:val="00534832"/>
    <w:rsid w:val="00534AF9"/>
    <w:rsid w:val="00534ED3"/>
    <w:rsid w:val="0053505E"/>
    <w:rsid w:val="0053507E"/>
    <w:rsid w:val="00535899"/>
    <w:rsid w:val="00535D2E"/>
    <w:rsid w:val="005371BE"/>
    <w:rsid w:val="00537518"/>
    <w:rsid w:val="005377A9"/>
    <w:rsid w:val="00537ECD"/>
    <w:rsid w:val="00540083"/>
    <w:rsid w:val="0054019C"/>
    <w:rsid w:val="00541A86"/>
    <w:rsid w:val="00542FCF"/>
    <w:rsid w:val="005435FE"/>
    <w:rsid w:val="00543DA5"/>
    <w:rsid w:val="00543F6B"/>
    <w:rsid w:val="0054445F"/>
    <w:rsid w:val="0054468F"/>
    <w:rsid w:val="00544791"/>
    <w:rsid w:val="0054491B"/>
    <w:rsid w:val="00544BB0"/>
    <w:rsid w:val="00544CE8"/>
    <w:rsid w:val="005457AE"/>
    <w:rsid w:val="00546C02"/>
    <w:rsid w:val="00547CBC"/>
    <w:rsid w:val="0055007B"/>
    <w:rsid w:val="005501AA"/>
    <w:rsid w:val="00550E1E"/>
    <w:rsid w:val="005510EB"/>
    <w:rsid w:val="00551316"/>
    <w:rsid w:val="00551581"/>
    <w:rsid w:val="005515BA"/>
    <w:rsid w:val="0055207C"/>
    <w:rsid w:val="005528AE"/>
    <w:rsid w:val="00552D7D"/>
    <w:rsid w:val="005531BE"/>
    <w:rsid w:val="0055418B"/>
    <w:rsid w:val="00554F6D"/>
    <w:rsid w:val="00554F7D"/>
    <w:rsid w:val="0055626B"/>
    <w:rsid w:val="005563F0"/>
    <w:rsid w:val="00556BFE"/>
    <w:rsid w:val="00556FCF"/>
    <w:rsid w:val="00557C3F"/>
    <w:rsid w:val="00557DFA"/>
    <w:rsid w:val="00557E8A"/>
    <w:rsid w:val="005617EE"/>
    <w:rsid w:val="005626CD"/>
    <w:rsid w:val="00562A5C"/>
    <w:rsid w:val="00562CB2"/>
    <w:rsid w:val="00562D53"/>
    <w:rsid w:val="005640EC"/>
    <w:rsid w:val="005641B0"/>
    <w:rsid w:val="00565598"/>
    <w:rsid w:val="00565A73"/>
    <w:rsid w:val="0056608F"/>
    <w:rsid w:val="00566148"/>
    <w:rsid w:val="005665CA"/>
    <w:rsid w:val="00566BCD"/>
    <w:rsid w:val="00567303"/>
    <w:rsid w:val="005675AF"/>
    <w:rsid w:val="00567604"/>
    <w:rsid w:val="005676ED"/>
    <w:rsid w:val="00567820"/>
    <w:rsid w:val="00567931"/>
    <w:rsid w:val="00570441"/>
    <w:rsid w:val="005704D2"/>
    <w:rsid w:val="00570C53"/>
    <w:rsid w:val="0057116E"/>
    <w:rsid w:val="00571929"/>
    <w:rsid w:val="00571FC5"/>
    <w:rsid w:val="0057229C"/>
    <w:rsid w:val="005727F5"/>
    <w:rsid w:val="005744FA"/>
    <w:rsid w:val="005754C5"/>
    <w:rsid w:val="00575C84"/>
    <w:rsid w:val="0057611B"/>
    <w:rsid w:val="005768F7"/>
    <w:rsid w:val="00576A60"/>
    <w:rsid w:val="00576B27"/>
    <w:rsid w:val="00576D5C"/>
    <w:rsid w:val="00576E34"/>
    <w:rsid w:val="00577039"/>
    <w:rsid w:val="00577249"/>
    <w:rsid w:val="00577558"/>
    <w:rsid w:val="00577BAE"/>
    <w:rsid w:val="00581F4B"/>
    <w:rsid w:val="00582842"/>
    <w:rsid w:val="005828D6"/>
    <w:rsid w:val="00582CCC"/>
    <w:rsid w:val="00583282"/>
    <w:rsid w:val="005838E3"/>
    <w:rsid w:val="00584DCF"/>
    <w:rsid w:val="0058548E"/>
    <w:rsid w:val="00585B80"/>
    <w:rsid w:val="00585EF3"/>
    <w:rsid w:val="00586A73"/>
    <w:rsid w:val="00586AF7"/>
    <w:rsid w:val="00586DCC"/>
    <w:rsid w:val="00586DE8"/>
    <w:rsid w:val="00587052"/>
    <w:rsid w:val="00587126"/>
    <w:rsid w:val="00587743"/>
    <w:rsid w:val="00587969"/>
    <w:rsid w:val="00587B98"/>
    <w:rsid w:val="00590731"/>
    <w:rsid w:val="0059160F"/>
    <w:rsid w:val="005918AD"/>
    <w:rsid w:val="00591FC7"/>
    <w:rsid w:val="00592846"/>
    <w:rsid w:val="005929D6"/>
    <w:rsid w:val="00592D57"/>
    <w:rsid w:val="005932AF"/>
    <w:rsid w:val="005945D4"/>
    <w:rsid w:val="0059474D"/>
    <w:rsid w:val="00594839"/>
    <w:rsid w:val="00594EEF"/>
    <w:rsid w:val="005952D6"/>
    <w:rsid w:val="00596983"/>
    <w:rsid w:val="00596EF6"/>
    <w:rsid w:val="00597092"/>
    <w:rsid w:val="00597DF2"/>
    <w:rsid w:val="00597E82"/>
    <w:rsid w:val="005A0B34"/>
    <w:rsid w:val="005A1202"/>
    <w:rsid w:val="005A168B"/>
    <w:rsid w:val="005A178F"/>
    <w:rsid w:val="005A1AF4"/>
    <w:rsid w:val="005A1D8A"/>
    <w:rsid w:val="005A31C9"/>
    <w:rsid w:val="005A3BDA"/>
    <w:rsid w:val="005A3C13"/>
    <w:rsid w:val="005A3D75"/>
    <w:rsid w:val="005A5EA2"/>
    <w:rsid w:val="005A6271"/>
    <w:rsid w:val="005A69E5"/>
    <w:rsid w:val="005A7440"/>
    <w:rsid w:val="005A7B6E"/>
    <w:rsid w:val="005B083A"/>
    <w:rsid w:val="005B12FC"/>
    <w:rsid w:val="005B1949"/>
    <w:rsid w:val="005B1F08"/>
    <w:rsid w:val="005B2002"/>
    <w:rsid w:val="005B2F7F"/>
    <w:rsid w:val="005B3B8F"/>
    <w:rsid w:val="005B4115"/>
    <w:rsid w:val="005B4125"/>
    <w:rsid w:val="005B41DA"/>
    <w:rsid w:val="005B5983"/>
    <w:rsid w:val="005B6B4B"/>
    <w:rsid w:val="005B7DD8"/>
    <w:rsid w:val="005C0127"/>
    <w:rsid w:val="005C03B2"/>
    <w:rsid w:val="005C1078"/>
    <w:rsid w:val="005C13C6"/>
    <w:rsid w:val="005C1CEC"/>
    <w:rsid w:val="005C2FB3"/>
    <w:rsid w:val="005C3466"/>
    <w:rsid w:val="005C3B1E"/>
    <w:rsid w:val="005C4C65"/>
    <w:rsid w:val="005C4DF9"/>
    <w:rsid w:val="005C50B1"/>
    <w:rsid w:val="005C5667"/>
    <w:rsid w:val="005C5734"/>
    <w:rsid w:val="005C6094"/>
    <w:rsid w:val="005C60F1"/>
    <w:rsid w:val="005C6238"/>
    <w:rsid w:val="005C652A"/>
    <w:rsid w:val="005C6D8A"/>
    <w:rsid w:val="005C6E83"/>
    <w:rsid w:val="005C701C"/>
    <w:rsid w:val="005D014A"/>
    <w:rsid w:val="005D070A"/>
    <w:rsid w:val="005D0F08"/>
    <w:rsid w:val="005D1926"/>
    <w:rsid w:val="005D198B"/>
    <w:rsid w:val="005D2112"/>
    <w:rsid w:val="005D2628"/>
    <w:rsid w:val="005D2927"/>
    <w:rsid w:val="005D2ADA"/>
    <w:rsid w:val="005D2D67"/>
    <w:rsid w:val="005D3A40"/>
    <w:rsid w:val="005D3C07"/>
    <w:rsid w:val="005D401C"/>
    <w:rsid w:val="005D4BBF"/>
    <w:rsid w:val="005D4F32"/>
    <w:rsid w:val="005D50A1"/>
    <w:rsid w:val="005D5F21"/>
    <w:rsid w:val="005D68DD"/>
    <w:rsid w:val="005D76DF"/>
    <w:rsid w:val="005D7963"/>
    <w:rsid w:val="005D7C3A"/>
    <w:rsid w:val="005D7EAE"/>
    <w:rsid w:val="005E0040"/>
    <w:rsid w:val="005E019B"/>
    <w:rsid w:val="005E0235"/>
    <w:rsid w:val="005E03F7"/>
    <w:rsid w:val="005E0612"/>
    <w:rsid w:val="005E0846"/>
    <w:rsid w:val="005E1089"/>
    <w:rsid w:val="005E10FA"/>
    <w:rsid w:val="005E161B"/>
    <w:rsid w:val="005E1B7E"/>
    <w:rsid w:val="005E20B0"/>
    <w:rsid w:val="005E21EB"/>
    <w:rsid w:val="005E24DA"/>
    <w:rsid w:val="005E28C4"/>
    <w:rsid w:val="005E40CF"/>
    <w:rsid w:val="005E572A"/>
    <w:rsid w:val="005E5D3D"/>
    <w:rsid w:val="005E5F0B"/>
    <w:rsid w:val="005E5F8B"/>
    <w:rsid w:val="005E6268"/>
    <w:rsid w:val="005E6AC1"/>
    <w:rsid w:val="005E6FB3"/>
    <w:rsid w:val="005E77D6"/>
    <w:rsid w:val="005E7E05"/>
    <w:rsid w:val="005F0949"/>
    <w:rsid w:val="005F233D"/>
    <w:rsid w:val="005F2602"/>
    <w:rsid w:val="005F2BBC"/>
    <w:rsid w:val="005F3109"/>
    <w:rsid w:val="005F3460"/>
    <w:rsid w:val="005F42F9"/>
    <w:rsid w:val="005F4767"/>
    <w:rsid w:val="005F4985"/>
    <w:rsid w:val="005F4E51"/>
    <w:rsid w:val="005F5296"/>
    <w:rsid w:val="005F5D8D"/>
    <w:rsid w:val="005F5FA0"/>
    <w:rsid w:val="005F6A46"/>
    <w:rsid w:val="005F75D0"/>
    <w:rsid w:val="005F7C56"/>
    <w:rsid w:val="005F7DB4"/>
    <w:rsid w:val="005F7E1D"/>
    <w:rsid w:val="0060007B"/>
    <w:rsid w:val="006001B1"/>
    <w:rsid w:val="0060115F"/>
    <w:rsid w:val="00601324"/>
    <w:rsid w:val="006017D4"/>
    <w:rsid w:val="00601A20"/>
    <w:rsid w:val="00601BE9"/>
    <w:rsid w:val="00601EDF"/>
    <w:rsid w:val="00602483"/>
    <w:rsid w:val="00603C62"/>
    <w:rsid w:val="00603DC2"/>
    <w:rsid w:val="00604066"/>
    <w:rsid w:val="0060588E"/>
    <w:rsid w:val="00605D46"/>
    <w:rsid w:val="00605D72"/>
    <w:rsid w:val="006062DC"/>
    <w:rsid w:val="00606369"/>
    <w:rsid w:val="00606553"/>
    <w:rsid w:val="00606B93"/>
    <w:rsid w:val="00607007"/>
    <w:rsid w:val="006072AB"/>
    <w:rsid w:val="00607BAE"/>
    <w:rsid w:val="006109D5"/>
    <w:rsid w:val="00611572"/>
    <w:rsid w:val="00611690"/>
    <w:rsid w:val="006117C3"/>
    <w:rsid w:val="00612E5E"/>
    <w:rsid w:val="00612FBA"/>
    <w:rsid w:val="00613068"/>
    <w:rsid w:val="006130B2"/>
    <w:rsid w:val="0061467F"/>
    <w:rsid w:val="00614CCA"/>
    <w:rsid w:val="00615454"/>
    <w:rsid w:val="0061586E"/>
    <w:rsid w:val="00615A57"/>
    <w:rsid w:val="00615E87"/>
    <w:rsid w:val="00616148"/>
    <w:rsid w:val="00616284"/>
    <w:rsid w:val="00616539"/>
    <w:rsid w:val="0061701E"/>
    <w:rsid w:val="0061729D"/>
    <w:rsid w:val="00617510"/>
    <w:rsid w:val="0061781D"/>
    <w:rsid w:val="00617D46"/>
    <w:rsid w:val="006204BF"/>
    <w:rsid w:val="006204E2"/>
    <w:rsid w:val="00620A32"/>
    <w:rsid w:val="006214E0"/>
    <w:rsid w:val="00621692"/>
    <w:rsid w:val="00621F61"/>
    <w:rsid w:val="00622846"/>
    <w:rsid w:val="00622C5F"/>
    <w:rsid w:val="00623347"/>
    <w:rsid w:val="00624489"/>
    <w:rsid w:val="00624A80"/>
    <w:rsid w:val="00625AC0"/>
    <w:rsid w:val="00625AC2"/>
    <w:rsid w:val="00625F1D"/>
    <w:rsid w:val="00626DF4"/>
    <w:rsid w:val="00627085"/>
    <w:rsid w:val="00627609"/>
    <w:rsid w:val="00627B24"/>
    <w:rsid w:val="0063066B"/>
    <w:rsid w:val="00630D77"/>
    <w:rsid w:val="00631206"/>
    <w:rsid w:val="00631513"/>
    <w:rsid w:val="00631754"/>
    <w:rsid w:val="00631937"/>
    <w:rsid w:val="00631F69"/>
    <w:rsid w:val="00632306"/>
    <w:rsid w:val="006328D3"/>
    <w:rsid w:val="0063292B"/>
    <w:rsid w:val="00632FE4"/>
    <w:rsid w:val="00633C04"/>
    <w:rsid w:val="006341DB"/>
    <w:rsid w:val="006348F1"/>
    <w:rsid w:val="006349AC"/>
    <w:rsid w:val="00634A13"/>
    <w:rsid w:val="006350BA"/>
    <w:rsid w:val="0063588F"/>
    <w:rsid w:val="006359E7"/>
    <w:rsid w:val="00635DF4"/>
    <w:rsid w:val="00635FCD"/>
    <w:rsid w:val="006369CE"/>
    <w:rsid w:val="00636C93"/>
    <w:rsid w:val="00636F77"/>
    <w:rsid w:val="006370CA"/>
    <w:rsid w:val="006376FE"/>
    <w:rsid w:val="00640D53"/>
    <w:rsid w:val="0064137A"/>
    <w:rsid w:val="0064182E"/>
    <w:rsid w:val="006418BB"/>
    <w:rsid w:val="00641E13"/>
    <w:rsid w:val="006422C3"/>
    <w:rsid w:val="00642382"/>
    <w:rsid w:val="006426B3"/>
    <w:rsid w:val="00642C5C"/>
    <w:rsid w:val="0064313D"/>
    <w:rsid w:val="006438D3"/>
    <w:rsid w:val="00643AE9"/>
    <w:rsid w:val="0064416C"/>
    <w:rsid w:val="006442CA"/>
    <w:rsid w:val="00644384"/>
    <w:rsid w:val="00644385"/>
    <w:rsid w:val="0064540A"/>
    <w:rsid w:val="00645CEE"/>
    <w:rsid w:val="006462B9"/>
    <w:rsid w:val="00646C4A"/>
    <w:rsid w:val="00646F4A"/>
    <w:rsid w:val="00647281"/>
    <w:rsid w:val="006506CC"/>
    <w:rsid w:val="00650B39"/>
    <w:rsid w:val="006519D5"/>
    <w:rsid w:val="00651B7A"/>
    <w:rsid w:val="00652D8F"/>
    <w:rsid w:val="00652EB7"/>
    <w:rsid w:val="00652F5E"/>
    <w:rsid w:val="00653A73"/>
    <w:rsid w:val="00653B4A"/>
    <w:rsid w:val="00653CD2"/>
    <w:rsid w:val="00653FBA"/>
    <w:rsid w:val="006541FE"/>
    <w:rsid w:val="006549EA"/>
    <w:rsid w:val="00655EAB"/>
    <w:rsid w:val="00656771"/>
    <w:rsid w:val="00656783"/>
    <w:rsid w:val="006571E4"/>
    <w:rsid w:val="006572E4"/>
    <w:rsid w:val="0065739C"/>
    <w:rsid w:val="00657687"/>
    <w:rsid w:val="00657F53"/>
    <w:rsid w:val="006603DB"/>
    <w:rsid w:val="00660883"/>
    <w:rsid w:val="00660E52"/>
    <w:rsid w:val="0066105D"/>
    <w:rsid w:val="006610AD"/>
    <w:rsid w:val="006611A3"/>
    <w:rsid w:val="0066129F"/>
    <w:rsid w:val="00662BC4"/>
    <w:rsid w:val="00663FAD"/>
    <w:rsid w:val="006642FF"/>
    <w:rsid w:val="00664AED"/>
    <w:rsid w:val="00665671"/>
    <w:rsid w:val="006667AF"/>
    <w:rsid w:val="00666AC9"/>
    <w:rsid w:val="00667105"/>
    <w:rsid w:val="00667625"/>
    <w:rsid w:val="00667A34"/>
    <w:rsid w:val="00667D6E"/>
    <w:rsid w:val="00670F54"/>
    <w:rsid w:val="00671983"/>
    <w:rsid w:val="006722E2"/>
    <w:rsid w:val="00672585"/>
    <w:rsid w:val="00672F35"/>
    <w:rsid w:val="00673F48"/>
    <w:rsid w:val="00674469"/>
    <w:rsid w:val="0067474E"/>
    <w:rsid w:val="006747C1"/>
    <w:rsid w:val="006747D6"/>
    <w:rsid w:val="0067497E"/>
    <w:rsid w:val="00674CFD"/>
    <w:rsid w:val="00675C1D"/>
    <w:rsid w:val="006761CF"/>
    <w:rsid w:val="006763A4"/>
    <w:rsid w:val="006763F7"/>
    <w:rsid w:val="00676C5E"/>
    <w:rsid w:val="00676C87"/>
    <w:rsid w:val="006772D0"/>
    <w:rsid w:val="00677AFD"/>
    <w:rsid w:val="00677CFD"/>
    <w:rsid w:val="006806C0"/>
    <w:rsid w:val="0068193C"/>
    <w:rsid w:val="00681AA4"/>
    <w:rsid w:val="00682355"/>
    <w:rsid w:val="006829AC"/>
    <w:rsid w:val="00682DDB"/>
    <w:rsid w:val="0068378D"/>
    <w:rsid w:val="00683C3E"/>
    <w:rsid w:val="00683D12"/>
    <w:rsid w:val="00684E16"/>
    <w:rsid w:val="00684EFA"/>
    <w:rsid w:val="006852C0"/>
    <w:rsid w:val="006852D8"/>
    <w:rsid w:val="00685E74"/>
    <w:rsid w:val="00685E75"/>
    <w:rsid w:val="00685FDD"/>
    <w:rsid w:val="006863EE"/>
    <w:rsid w:val="00686CDB"/>
    <w:rsid w:val="006872E5"/>
    <w:rsid w:val="006873B1"/>
    <w:rsid w:val="00687501"/>
    <w:rsid w:val="006877D6"/>
    <w:rsid w:val="006878C9"/>
    <w:rsid w:val="006901C6"/>
    <w:rsid w:val="00690A62"/>
    <w:rsid w:val="00690DB9"/>
    <w:rsid w:val="0069159B"/>
    <w:rsid w:val="0069199E"/>
    <w:rsid w:val="00691A39"/>
    <w:rsid w:val="00691B75"/>
    <w:rsid w:val="00692279"/>
    <w:rsid w:val="00692B2F"/>
    <w:rsid w:val="00692CF9"/>
    <w:rsid w:val="00692FE2"/>
    <w:rsid w:val="006930F5"/>
    <w:rsid w:val="0069323F"/>
    <w:rsid w:val="006935B3"/>
    <w:rsid w:val="00693C27"/>
    <w:rsid w:val="00694495"/>
    <w:rsid w:val="006945A0"/>
    <w:rsid w:val="006945F7"/>
    <w:rsid w:val="006946A7"/>
    <w:rsid w:val="006946D9"/>
    <w:rsid w:val="00694D5E"/>
    <w:rsid w:val="00694DDE"/>
    <w:rsid w:val="0069521A"/>
    <w:rsid w:val="006959D0"/>
    <w:rsid w:val="00695DF2"/>
    <w:rsid w:val="00695E0C"/>
    <w:rsid w:val="006968C9"/>
    <w:rsid w:val="00696B76"/>
    <w:rsid w:val="00696C07"/>
    <w:rsid w:val="006A056B"/>
    <w:rsid w:val="006A07BD"/>
    <w:rsid w:val="006A0B7A"/>
    <w:rsid w:val="006A17FE"/>
    <w:rsid w:val="006A237D"/>
    <w:rsid w:val="006A238B"/>
    <w:rsid w:val="006A2849"/>
    <w:rsid w:val="006A2A26"/>
    <w:rsid w:val="006A2C62"/>
    <w:rsid w:val="006A2EE5"/>
    <w:rsid w:val="006A35C5"/>
    <w:rsid w:val="006A3972"/>
    <w:rsid w:val="006A4250"/>
    <w:rsid w:val="006A5E84"/>
    <w:rsid w:val="006A6102"/>
    <w:rsid w:val="006A64A1"/>
    <w:rsid w:val="006A6690"/>
    <w:rsid w:val="006A6802"/>
    <w:rsid w:val="006A768F"/>
    <w:rsid w:val="006A779D"/>
    <w:rsid w:val="006A7F8C"/>
    <w:rsid w:val="006B036E"/>
    <w:rsid w:val="006B0388"/>
    <w:rsid w:val="006B0752"/>
    <w:rsid w:val="006B0F4F"/>
    <w:rsid w:val="006B19A7"/>
    <w:rsid w:val="006B2017"/>
    <w:rsid w:val="006B25A0"/>
    <w:rsid w:val="006B26B6"/>
    <w:rsid w:val="006B2789"/>
    <w:rsid w:val="006B2BD9"/>
    <w:rsid w:val="006B30FD"/>
    <w:rsid w:val="006B33A4"/>
    <w:rsid w:val="006B348A"/>
    <w:rsid w:val="006B3787"/>
    <w:rsid w:val="006B397F"/>
    <w:rsid w:val="006B3EF8"/>
    <w:rsid w:val="006B3F29"/>
    <w:rsid w:val="006B3FCD"/>
    <w:rsid w:val="006B51C3"/>
    <w:rsid w:val="006B525D"/>
    <w:rsid w:val="006B5EEA"/>
    <w:rsid w:val="006B5EF7"/>
    <w:rsid w:val="006B5F9E"/>
    <w:rsid w:val="006B6ABB"/>
    <w:rsid w:val="006C027A"/>
    <w:rsid w:val="006C0F0B"/>
    <w:rsid w:val="006C1505"/>
    <w:rsid w:val="006C1A47"/>
    <w:rsid w:val="006C1ACE"/>
    <w:rsid w:val="006C1AFF"/>
    <w:rsid w:val="006C1E2F"/>
    <w:rsid w:val="006C1E65"/>
    <w:rsid w:val="006C2613"/>
    <w:rsid w:val="006C2E6E"/>
    <w:rsid w:val="006C3582"/>
    <w:rsid w:val="006C458F"/>
    <w:rsid w:val="006C47BE"/>
    <w:rsid w:val="006C5765"/>
    <w:rsid w:val="006C6098"/>
    <w:rsid w:val="006C6432"/>
    <w:rsid w:val="006C6722"/>
    <w:rsid w:val="006C6C36"/>
    <w:rsid w:val="006C71C8"/>
    <w:rsid w:val="006C736D"/>
    <w:rsid w:val="006C7864"/>
    <w:rsid w:val="006C7CDA"/>
    <w:rsid w:val="006C7D1F"/>
    <w:rsid w:val="006D0457"/>
    <w:rsid w:val="006D0559"/>
    <w:rsid w:val="006D1A2D"/>
    <w:rsid w:val="006D1C47"/>
    <w:rsid w:val="006D2609"/>
    <w:rsid w:val="006D2B35"/>
    <w:rsid w:val="006D2E3F"/>
    <w:rsid w:val="006D36C2"/>
    <w:rsid w:val="006D3839"/>
    <w:rsid w:val="006D387B"/>
    <w:rsid w:val="006D3B65"/>
    <w:rsid w:val="006D3C6D"/>
    <w:rsid w:val="006D3DC2"/>
    <w:rsid w:val="006D43D4"/>
    <w:rsid w:val="006D447E"/>
    <w:rsid w:val="006D4652"/>
    <w:rsid w:val="006D4779"/>
    <w:rsid w:val="006D580C"/>
    <w:rsid w:val="006D61AF"/>
    <w:rsid w:val="006D62AF"/>
    <w:rsid w:val="006D68D7"/>
    <w:rsid w:val="006D693A"/>
    <w:rsid w:val="006D6F8F"/>
    <w:rsid w:val="006D6F9D"/>
    <w:rsid w:val="006D7211"/>
    <w:rsid w:val="006D741B"/>
    <w:rsid w:val="006D743D"/>
    <w:rsid w:val="006E0C7E"/>
    <w:rsid w:val="006E115F"/>
    <w:rsid w:val="006E1754"/>
    <w:rsid w:val="006E179A"/>
    <w:rsid w:val="006E1910"/>
    <w:rsid w:val="006E1AB4"/>
    <w:rsid w:val="006E2842"/>
    <w:rsid w:val="006E377E"/>
    <w:rsid w:val="006E3D19"/>
    <w:rsid w:val="006E3E50"/>
    <w:rsid w:val="006E3E5E"/>
    <w:rsid w:val="006E442B"/>
    <w:rsid w:val="006E4592"/>
    <w:rsid w:val="006E4994"/>
    <w:rsid w:val="006E4E28"/>
    <w:rsid w:val="006E5568"/>
    <w:rsid w:val="006E5944"/>
    <w:rsid w:val="006E5F17"/>
    <w:rsid w:val="006E6D0F"/>
    <w:rsid w:val="006E6E73"/>
    <w:rsid w:val="006E7016"/>
    <w:rsid w:val="006E7121"/>
    <w:rsid w:val="006E735B"/>
    <w:rsid w:val="006E7975"/>
    <w:rsid w:val="006E7ACA"/>
    <w:rsid w:val="006F00B3"/>
    <w:rsid w:val="006F05E2"/>
    <w:rsid w:val="006F092A"/>
    <w:rsid w:val="006F0DC3"/>
    <w:rsid w:val="006F1013"/>
    <w:rsid w:val="006F139B"/>
    <w:rsid w:val="006F17FD"/>
    <w:rsid w:val="006F1D15"/>
    <w:rsid w:val="006F1F42"/>
    <w:rsid w:val="006F2002"/>
    <w:rsid w:val="006F2531"/>
    <w:rsid w:val="006F2729"/>
    <w:rsid w:val="006F2906"/>
    <w:rsid w:val="006F2DE7"/>
    <w:rsid w:val="006F2E44"/>
    <w:rsid w:val="006F3429"/>
    <w:rsid w:val="006F3526"/>
    <w:rsid w:val="006F380E"/>
    <w:rsid w:val="006F4574"/>
    <w:rsid w:val="006F48A5"/>
    <w:rsid w:val="006F4B07"/>
    <w:rsid w:val="006F4E54"/>
    <w:rsid w:val="006F4F0D"/>
    <w:rsid w:val="006F5E99"/>
    <w:rsid w:val="006F6632"/>
    <w:rsid w:val="006F66E0"/>
    <w:rsid w:val="006F6750"/>
    <w:rsid w:val="006F69EA"/>
    <w:rsid w:val="006F6ACE"/>
    <w:rsid w:val="006F6D08"/>
    <w:rsid w:val="006F74F4"/>
    <w:rsid w:val="006F7FBB"/>
    <w:rsid w:val="007001C9"/>
    <w:rsid w:val="0070043B"/>
    <w:rsid w:val="0070099B"/>
    <w:rsid w:val="00700B87"/>
    <w:rsid w:val="00700C67"/>
    <w:rsid w:val="00700D23"/>
    <w:rsid w:val="00702745"/>
    <w:rsid w:val="007034EA"/>
    <w:rsid w:val="0070449A"/>
    <w:rsid w:val="007044A6"/>
    <w:rsid w:val="00704729"/>
    <w:rsid w:val="007047FE"/>
    <w:rsid w:val="00705045"/>
    <w:rsid w:val="00705841"/>
    <w:rsid w:val="00706D24"/>
    <w:rsid w:val="00706D9D"/>
    <w:rsid w:val="00707584"/>
    <w:rsid w:val="00707658"/>
    <w:rsid w:val="007076CB"/>
    <w:rsid w:val="00710174"/>
    <w:rsid w:val="007101AF"/>
    <w:rsid w:val="007101EC"/>
    <w:rsid w:val="007108C3"/>
    <w:rsid w:val="00710B00"/>
    <w:rsid w:val="00710E89"/>
    <w:rsid w:val="007116A1"/>
    <w:rsid w:val="007117F6"/>
    <w:rsid w:val="0071180F"/>
    <w:rsid w:val="007126B2"/>
    <w:rsid w:val="00712F3C"/>
    <w:rsid w:val="00713169"/>
    <w:rsid w:val="007139C6"/>
    <w:rsid w:val="0071402E"/>
    <w:rsid w:val="00714C4F"/>
    <w:rsid w:val="00715507"/>
    <w:rsid w:val="007156C6"/>
    <w:rsid w:val="00715818"/>
    <w:rsid w:val="00715F5A"/>
    <w:rsid w:val="00715F65"/>
    <w:rsid w:val="007166A2"/>
    <w:rsid w:val="00716B77"/>
    <w:rsid w:val="0071753F"/>
    <w:rsid w:val="007202AC"/>
    <w:rsid w:val="0072071F"/>
    <w:rsid w:val="007207A9"/>
    <w:rsid w:val="007208A9"/>
    <w:rsid w:val="00720A55"/>
    <w:rsid w:val="00720C23"/>
    <w:rsid w:val="00721203"/>
    <w:rsid w:val="007216ED"/>
    <w:rsid w:val="00723010"/>
    <w:rsid w:val="00723080"/>
    <w:rsid w:val="00723872"/>
    <w:rsid w:val="00723BC6"/>
    <w:rsid w:val="00724506"/>
    <w:rsid w:val="0072456C"/>
    <w:rsid w:val="00724CAA"/>
    <w:rsid w:val="00724D49"/>
    <w:rsid w:val="00725BBB"/>
    <w:rsid w:val="00726078"/>
    <w:rsid w:val="0072647A"/>
    <w:rsid w:val="007268D5"/>
    <w:rsid w:val="00726AAA"/>
    <w:rsid w:val="00726E38"/>
    <w:rsid w:val="00727E7D"/>
    <w:rsid w:val="00730313"/>
    <w:rsid w:val="00730611"/>
    <w:rsid w:val="00730619"/>
    <w:rsid w:val="007307C5"/>
    <w:rsid w:val="00731972"/>
    <w:rsid w:val="007319D7"/>
    <w:rsid w:val="00731C3D"/>
    <w:rsid w:val="0073269F"/>
    <w:rsid w:val="00732B34"/>
    <w:rsid w:val="007332A9"/>
    <w:rsid w:val="00733AE3"/>
    <w:rsid w:val="00733F7A"/>
    <w:rsid w:val="00734059"/>
    <w:rsid w:val="00734075"/>
    <w:rsid w:val="0073474B"/>
    <w:rsid w:val="007349B6"/>
    <w:rsid w:val="00734D0E"/>
    <w:rsid w:val="007352F9"/>
    <w:rsid w:val="007356F8"/>
    <w:rsid w:val="00735870"/>
    <w:rsid w:val="007358D2"/>
    <w:rsid w:val="00736D90"/>
    <w:rsid w:val="00737169"/>
    <w:rsid w:val="00737D1F"/>
    <w:rsid w:val="00740B81"/>
    <w:rsid w:val="007417DD"/>
    <w:rsid w:val="00741943"/>
    <w:rsid w:val="00742184"/>
    <w:rsid w:val="007421C0"/>
    <w:rsid w:val="00742338"/>
    <w:rsid w:val="0074259C"/>
    <w:rsid w:val="00742FF1"/>
    <w:rsid w:val="00743177"/>
    <w:rsid w:val="00743754"/>
    <w:rsid w:val="00743801"/>
    <w:rsid w:val="007449A5"/>
    <w:rsid w:val="00744E35"/>
    <w:rsid w:val="00745989"/>
    <w:rsid w:val="00745ABB"/>
    <w:rsid w:val="00746E25"/>
    <w:rsid w:val="00747BB7"/>
    <w:rsid w:val="00747BF8"/>
    <w:rsid w:val="00750BEB"/>
    <w:rsid w:val="0075120A"/>
    <w:rsid w:val="00751F1A"/>
    <w:rsid w:val="0075231D"/>
    <w:rsid w:val="00752394"/>
    <w:rsid w:val="00752480"/>
    <w:rsid w:val="0075362F"/>
    <w:rsid w:val="00753DE9"/>
    <w:rsid w:val="00754322"/>
    <w:rsid w:val="0075482F"/>
    <w:rsid w:val="00755C38"/>
    <w:rsid w:val="00755EF6"/>
    <w:rsid w:val="00756143"/>
    <w:rsid w:val="0075636A"/>
    <w:rsid w:val="00756421"/>
    <w:rsid w:val="00756664"/>
    <w:rsid w:val="007568A3"/>
    <w:rsid w:val="007569C0"/>
    <w:rsid w:val="007574F7"/>
    <w:rsid w:val="00757D5E"/>
    <w:rsid w:val="0076034A"/>
    <w:rsid w:val="0076041E"/>
    <w:rsid w:val="00760421"/>
    <w:rsid w:val="0076050F"/>
    <w:rsid w:val="00760A5B"/>
    <w:rsid w:val="00761806"/>
    <w:rsid w:val="00761D98"/>
    <w:rsid w:val="00761EA1"/>
    <w:rsid w:val="007626BC"/>
    <w:rsid w:val="00762AEC"/>
    <w:rsid w:val="00762EC7"/>
    <w:rsid w:val="00762FB4"/>
    <w:rsid w:val="00763028"/>
    <w:rsid w:val="00763492"/>
    <w:rsid w:val="007638A5"/>
    <w:rsid w:val="0076443D"/>
    <w:rsid w:val="00766811"/>
    <w:rsid w:val="0076683A"/>
    <w:rsid w:val="00766D2E"/>
    <w:rsid w:val="00767BBC"/>
    <w:rsid w:val="00767F39"/>
    <w:rsid w:val="00770487"/>
    <w:rsid w:val="0077102F"/>
    <w:rsid w:val="0077163D"/>
    <w:rsid w:val="00771667"/>
    <w:rsid w:val="007716B9"/>
    <w:rsid w:val="007717CB"/>
    <w:rsid w:val="00771978"/>
    <w:rsid w:val="0077248D"/>
    <w:rsid w:val="00772696"/>
    <w:rsid w:val="00772C98"/>
    <w:rsid w:val="0077388A"/>
    <w:rsid w:val="00774015"/>
    <w:rsid w:val="00774825"/>
    <w:rsid w:val="00774989"/>
    <w:rsid w:val="00774E41"/>
    <w:rsid w:val="0077567F"/>
    <w:rsid w:val="00775D7D"/>
    <w:rsid w:val="00776890"/>
    <w:rsid w:val="007776CF"/>
    <w:rsid w:val="00777DF0"/>
    <w:rsid w:val="00780506"/>
    <w:rsid w:val="00780597"/>
    <w:rsid w:val="007808C2"/>
    <w:rsid w:val="00780E3B"/>
    <w:rsid w:val="00780EA7"/>
    <w:rsid w:val="0078184D"/>
    <w:rsid w:val="0078193A"/>
    <w:rsid w:val="00782050"/>
    <w:rsid w:val="00782800"/>
    <w:rsid w:val="00782C47"/>
    <w:rsid w:val="00783343"/>
    <w:rsid w:val="0078335B"/>
    <w:rsid w:val="007836EE"/>
    <w:rsid w:val="00783988"/>
    <w:rsid w:val="00783BAC"/>
    <w:rsid w:val="00783FEE"/>
    <w:rsid w:val="007841CD"/>
    <w:rsid w:val="00785276"/>
    <w:rsid w:val="007854C4"/>
    <w:rsid w:val="00785510"/>
    <w:rsid w:val="007857A8"/>
    <w:rsid w:val="00786AE8"/>
    <w:rsid w:val="00786E37"/>
    <w:rsid w:val="00786E73"/>
    <w:rsid w:val="007872E3"/>
    <w:rsid w:val="00787371"/>
    <w:rsid w:val="007878E9"/>
    <w:rsid w:val="00787C9F"/>
    <w:rsid w:val="007903C2"/>
    <w:rsid w:val="00790687"/>
    <w:rsid w:val="00791316"/>
    <w:rsid w:val="00791750"/>
    <w:rsid w:val="007917AF"/>
    <w:rsid w:val="00791F46"/>
    <w:rsid w:val="00792482"/>
    <w:rsid w:val="00793028"/>
    <w:rsid w:val="007932CC"/>
    <w:rsid w:val="007933F7"/>
    <w:rsid w:val="00793848"/>
    <w:rsid w:val="00793DD4"/>
    <w:rsid w:val="00794D52"/>
    <w:rsid w:val="007959A7"/>
    <w:rsid w:val="00795BEE"/>
    <w:rsid w:val="00796540"/>
    <w:rsid w:val="007966A6"/>
    <w:rsid w:val="00796D7D"/>
    <w:rsid w:val="007973A1"/>
    <w:rsid w:val="00797423"/>
    <w:rsid w:val="007979D1"/>
    <w:rsid w:val="007A195C"/>
    <w:rsid w:val="007A1CDD"/>
    <w:rsid w:val="007A260F"/>
    <w:rsid w:val="007A27D1"/>
    <w:rsid w:val="007A27FD"/>
    <w:rsid w:val="007A2991"/>
    <w:rsid w:val="007A2A42"/>
    <w:rsid w:val="007A3209"/>
    <w:rsid w:val="007A3894"/>
    <w:rsid w:val="007A489F"/>
    <w:rsid w:val="007A4B52"/>
    <w:rsid w:val="007A538F"/>
    <w:rsid w:val="007A5F28"/>
    <w:rsid w:val="007A67C6"/>
    <w:rsid w:val="007A79A5"/>
    <w:rsid w:val="007B028A"/>
    <w:rsid w:val="007B0364"/>
    <w:rsid w:val="007B0795"/>
    <w:rsid w:val="007B07BA"/>
    <w:rsid w:val="007B088D"/>
    <w:rsid w:val="007B0F42"/>
    <w:rsid w:val="007B0F97"/>
    <w:rsid w:val="007B247A"/>
    <w:rsid w:val="007B2848"/>
    <w:rsid w:val="007B2927"/>
    <w:rsid w:val="007B2DD4"/>
    <w:rsid w:val="007B305D"/>
    <w:rsid w:val="007B3C34"/>
    <w:rsid w:val="007B4AFB"/>
    <w:rsid w:val="007B5BF6"/>
    <w:rsid w:val="007B5EDB"/>
    <w:rsid w:val="007B6670"/>
    <w:rsid w:val="007B68A1"/>
    <w:rsid w:val="007B735A"/>
    <w:rsid w:val="007B7388"/>
    <w:rsid w:val="007B791A"/>
    <w:rsid w:val="007C0B89"/>
    <w:rsid w:val="007C1F67"/>
    <w:rsid w:val="007C2AB9"/>
    <w:rsid w:val="007C2BD3"/>
    <w:rsid w:val="007C2D97"/>
    <w:rsid w:val="007C31E5"/>
    <w:rsid w:val="007C3562"/>
    <w:rsid w:val="007C3566"/>
    <w:rsid w:val="007C4E11"/>
    <w:rsid w:val="007C5569"/>
    <w:rsid w:val="007C615E"/>
    <w:rsid w:val="007C6298"/>
    <w:rsid w:val="007C6CEB"/>
    <w:rsid w:val="007C708B"/>
    <w:rsid w:val="007C7117"/>
    <w:rsid w:val="007C7181"/>
    <w:rsid w:val="007C7AAF"/>
    <w:rsid w:val="007C7E1D"/>
    <w:rsid w:val="007D0342"/>
    <w:rsid w:val="007D09F2"/>
    <w:rsid w:val="007D0DAE"/>
    <w:rsid w:val="007D14C5"/>
    <w:rsid w:val="007D14D2"/>
    <w:rsid w:val="007D225F"/>
    <w:rsid w:val="007D273E"/>
    <w:rsid w:val="007D2895"/>
    <w:rsid w:val="007D2A6E"/>
    <w:rsid w:val="007D340E"/>
    <w:rsid w:val="007D3D3E"/>
    <w:rsid w:val="007D3DD5"/>
    <w:rsid w:val="007D40A6"/>
    <w:rsid w:val="007D4191"/>
    <w:rsid w:val="007D44FF"/>
    <w:rsid w:val="007D4A11"/>
    <w:rsid w:val="007D5271"/>
    <w:rsid w:val="007D5A7D"/>
    <w:rsid w:val="007D5B32"/>
    <w:rsid w:val="007D5FE7"/>
    <w:rsid w:val="007D6298"/>
    <w:rsid w:val="007D62B6"/>
    <w:rsid w:val="007D62E6"/>
    <w:rsid w:val="007D63BA"/>
    <w:rsid w:val="007D68A0"/>
    <w:rsid w:val="007D69CB"/>
    <w:rsid w:val="007D7034"/>
    <w:rsid w:val="007D7C6E"/>
    <w:rsid w:val="007D7F5B"/>
    <w:rsid w:val="007E098D"/>
    <w:rsid w:val="007E0A95"/>
    <w:rsid w:val="007E1007"/>
    <w:rsid w:val="007E1AAD"/>
    <w:rsid w:val="007E1B02"/>
    <w:rsid w:val="007E1B67"/>
    <w:rsid w:val="007E211B"/>
    <w:rsid w:val="007E2166"/>
    <w:rsid w:val="007E230E"/>
    <w:rsid w:val="007E36E8"/>
    <w:rsid w:val="007E3B93"/>
    <w:rsid w:val="007E454B"/>
    <w:rsid w:val="007E4699"/>
    <w:rsid w:val="007E5AFB"/>
    <w:rsid w:val="007E5C7A"/>
    <w:rsid w:val="007E6937"/>
    <w:rsid w:val="007E734A"/>
    <w:rsid w:val="007E793B"/>
    <w:rsid w:val="007F014A"/>
    <w:rsid w:val="007F04E9"/>
    <w:rsid w:val="007F069C"/>
    <w:rsid w:val="007F0A08"/>
    <w:rsid w:val="007F0F77"/>
    <w:rsid w:val="007F122A"/>
    <w:rsid w:val="007F1324"/>
    <w:rsid w:val="007F1BF9"/>
    <w:rsid w:val="007F2943"/>
    <w:rsid w:val="007F2A7A"/>
    <w:rsid w:val="007F2B05"/>
    <w:rsid w:val="007F2BBB"/>
    <w:rsid w:val="007F314D"/>
    <w:rsid w:val="007F3833"/>
    <w:rsid w:val="007F4927"/>
    <w:rsid w:val="007F4956"/>
    <w:rsid w:val="007F4B59"/>
    <w:rsid w:val="007F5146"/>
    <w:rsid w:val="007F536E"/>
    <w:rsid w:val="007F5A10"/>
    <w:rsid w:val="007F62BE"/>
    <w:rsid w:val="007F6AC7"/>
    <w:rsid w:val="007F6F97"/>
    <w:rsid w:val="007F7503"/>
    <w:rsid w:val="007F7704"/>
    <w:rsid w:val="007F7F7C"/>
    <w:rsid w:val="0080076C"/>
    <w:rsid w:val="008015F8"/>
    <w:rsid w:val="00801D3C"/>
    <w:rsid w:val="00803314"/>
    <w:rsid w:val="00803387"/>
    <w:rsid w:val="00803549"/>
    <w:rsid w:val="00803E53"/>
    <w:rsid w:val="00803E9B"/>
    <w:rsid w:val="008040EC"/>
    <w:rsid w:val="00805490"/>
    <w:rsid w:val="00805EAA"/>
    <w:rsid w:val="00806995"/>
    <w:rsid w:val="00806B75"/>
    <w:rsid w:val="00806C40"/>
    <w:rsid w:val="008072FC"/>
    <w:rsid w:val="00810CE8"/>
    <w:rsid w:val="00810D01"/>
    <w:rsid w:val="008110F6"/>
    <w:rsid w:val="008111AF"/>
    <w:rsid w:val="00811258"/>
    <w:rsid w:val="008113E6"/>
    <w:rsid w:val="00811E4D"/>
    <w:rsid w:val="00812C43"/>
    <w:rsid w:val="00812F96"/>
    <w:rsid w:val="00813169"/>
    <w:rsid w:val="008132CB"/>
    <w:rsid w:val="00813315"/>
    <w:rsid w:val="0081352E"/>
    <w:rsid w:val="008139F9"/>
    <w:rsid w:val="00813A55"/>
    <w:rsid w:val="00813FBC"/>
    <w:rsid w:val="00814357"/>
    <w:rsid w:val="00814AF3"/>
    <w:rsid w:val="008156A8"/>
    <w:rsid w:val="0081611E"/>
    <w:rsid w:val="008168C0"/>
    <w:rsid w:val="00816B4E"/>
    <w:rsid w:val="00817167"/>
    <w:rsid w:val="00817517"/>
    <w:rsid w:val="00817720"/>
    <w:rsid w:val="0081793A"/>
    <w:rsid w:val="00820CFA"/>
    <w:rsid w:val="00820FE2"/>
    <w:rsid w:val="00821848"/>
    <w:rsid w:val="00821B08"/>
    <w:rsid w:val="00821BE0"/>
    <w:rsid w:val="00821F71"/>
    <w:rsid w:val="008222D2"/>
    <w:rsid w:val="00822421"/>
    <w:rsid w:val="008232E4"/>
    <w:rsid w:val="008234FF"/>
    <w:rsid w:val="00823522"/>
    <w:rsid w:val="00823683"/>
    <w:rsid w:val="00823A0A"/>
    <w:rsid w:val="00823AFA"/>
    <w:rsid w:val="00823B12"/>
    <w:rsid w:val="00823CBD"/>
    <w:rsid w:val="00823F5A"/>
    <w:rsid w:val="00823FD1"/>
    <w:rsid w:val="00825CD4"/>
    <w:rsid w:val="00825D81"/>
    <w:rsid w:val="00825FF8"/>
    <w:rsid w:val="00826254"/>
    <w:rsid w:val="008262AF"/>
    <w:rsid w:val="00826DF3"/>
    <w:rsid w:val="008272EB"/>
    <w:rsid w:val="0082787F"/>
    <w:rsid w:val="0083055C"/>
    <w:rsid w:val="00831201"/>
    <w:rsid w:val="0083196E"/>
    <w:rsid w:val="0083286F"/>
    <w:rsid w:val="008329D9"/>
    <w:rsid w:val="00832F73"/>
    <w:rsid w:val="008331A5"/>
    <w:rsid w:val="00834199"/>
    <w:rsid w:val="008342CC"/>
    <w:rsid w:val="00834C70"/>
    <w:rsid w:val="0083521C"/>
    <w:rsid w:val="00835319"/>
    <w:rsid w:val="008359FE"/>
    <w:rsid w:val="00835DF1"/>
    <w:rsid w:val="00836EA9"/>
    <w:rsid w:val="00837D31"/>
    <w:rsid w:val="008402F7"/>
    <w:rsid w:val="00840A4D"/>
    <w:rsid w:val="00840E55"/>
    <w:rsid w:val="00841078"/>
    <w:rsid w:val="00841456"/>
    <w:rsid w:val="00841890"/>
    <w:rsid w:val="00841ACA"/>
    <w:rsid w:val="00841B0F"/>
    <w:rsid w:val="00842211"/>
    <w:rsid w:val="00842498"/>
    <w:rsid w:val="00842A67"/>
    <w:rsid w:val="00842A71"/>
    <w:rsid w:val="0084390A"/>
    <w:rsid w:val="0084488C"/>
    <w:rsid w:val="00844E32"/>
    <w:rsid w:val="00846190"/>
    <w:rsid w:val="008465E5"/>
    <w:rsid w:val="00846601"/>
    <w:rsid w:val="00846988"/>
    <w:rsid w:val="008476D5"/>
    <w:rsid w:val="00850A0C"/>
    <w:rsid w:val="00851BC1"/>
    <w:rsid w:val="00853474"/>
    <w:rsid w:val="0085352A"/>
    <w:rsid w:val="008535E0"/>
    <w:rsid w:val="0085379D"/>
    <w:rsid w:val="00853ADE"/>
    <w:rsid w:val="00854585"/>
    <w:rsid w:val="008549CD"/>
    <w:rsid w:val="00854A76"/>
    <w:rsid w:val="00854ADC"/>
    <w:rsid w:val="00854F6A"/>
    <w:rsid w:val="00855AC9"/>
    <w:rsid w:val="00855BA7"/>
    <w:rsid w:val="0085638A"/>
    <w:rsid w:val="00856823"/>
    <w:rsid w:val="00856AFD"/>
    <w:rsid w:val="0085744D"/>
    <w:rsid w:val="008574E5"/>
    <w:rsid w:val="008604AE"/>
    <w:rsid w:val="008609A9"/>
    <w:rsid w:val="00860B65"/>
    <w:rsid w:val="00860D6C"/>
    <w:rsid w:val="00861B62"/>
    <w:rsid w:val="0086267A"/>
    <w:rsid w:val="00862ABA"/>
    <w:rsid w:val="00862D11"/>
    <w:rsid w:val="0086302E"/>
    <w:rsid w:val="00863049"/>
    <w:rsid w:val="00863474"/>
    <w:rsid w:val="008635E9"/>
    <w:rsid w:val="00864651"/>
    <w:rsid w:val="00864AB8"/>
    <w:rsid w:val="00864D19"/>
    <w:rsid w:val="00864F50"/>
    <w:rsid w:val="00864F80"/>
    <w:rsid w:val="00864FE8"/>
    <w:rsid w:val="008651CC"/>
    <w:rsid w:val="008651F0"/>
    <w:rsid w:val="0086590B"/>
    <w:rsid w:val="00865D89"/>
    <w:rsid w:val="00865E86"/>
    <w:rsid w:val="00866BAB"/>
    <w:rsid w:val="00867423"/>
    <w:rsid w:val="00867558"/>
    <w:rsid w:val="00867605"/>
    <w:rsid w:val="00867AC5"/>
    <w:rsid w:val="00867B99"/>
    <w:rsid w:val="00870BD6"/>
    <w:rsid w:val="00870C92"/>
    <w:rsid w:val="00871270"/>
    <w:rsid w:val="00871B7D"/>
    <w:rsid w:val="00871CAD"/>
    <w:rsid w:val="00872D31"/>
    <w:rsid w:val="00872EA5"/>
    <w:rsid w:val="008730F0"/>
    <w:rsid w:val="0087347B"/>
    <w:rsid w:val="0087389E"/>
    <w:rsid w:val="00874CBC"/>
    <w:rsid w:val="0087519A"/>
    <w:rsid w:val="00875488"/>
    <w:rsid w:val="008755EB"/>
    <w:rsid w:val="00875877"/>
    <w:rsid w:val="008761D7"/>
    <w:rsid w:val="00877F80"/>
    <w:rsid w:val="00877FCD"/>
    <w:rsid w:val="00882885"/>
    <w:rsid w:val="00882EC3"/>
    <w:rsid w:val="008834E1"/>
    <w:rsid w:val="00883674"/>
    <w:rsid w:val="00883A18"/>
    <w:rsid w:val="00883C6E"/>
    <w:rsid w:val="00883F1C"/>
    <w:rsid w:val="00884051"/>
    <w:rsid w:val="008845FE"/>
    <w:rsid w:val="00884835"/>
    <w:rsid w:val="00884963"/>
    <w:rsid w:val="00886014"/>
    <w:rsid w:val="00886647"/>
    <w:rsid w:val="00886788"/>
    <w:rsid w:val="00886DDB"/>
    <w:rsid w:val="00887EBA"/>
    <w:rsid w:val="00890227"/>
    <w:rsid w:val="00890EAC"/>
    <w:rsid w:val="00891197"/>
    <w:rsid w:val="008918D1"/>
    <w:rsid w:val="00891E78"/>
    <w:rsid w:val="00891F63"/>
    <w:rsid w:val="00892069"/>
    <w:rsid w:val="00892128"/>
    <w:rsid w:val="008923A5"/>
    <w:rsid w:val="00892A25"/>
    <w:rsid w:val="00893E5C"/>
    <w:rsid w:val="008946A2"/>
    <w:rsid w:val="00896292"/>
    <w:rsid w:val="00896EC7"/>
    <w:rsid w:val="00897242"/>
    <w:rsid w:val="00897B56"/>
    <w:rsid w:val="00897DBB"/>
    <w:rsid w:val="00897E04"/>
    <w:rsid w:val="008A0C88"/>
    <w:rsid w:val="008A11AE"/>
    <w:rsid w:val="008A15AB"/>
    <w:rsid w:val="008A16DC"/>
    <w:rsid w:val="008A231C"/>
    <w:rsid w:val="008A24D7"/>
    <w:rsid w:val="008A2A41"/>
    <w:rsid w:val="008A31EF"/>
    <w:rsid w:val="008A36D6"/>
    <w:rsid w:val="008A4460"/>
    <w:rsid w:val="008A4557"/>
    <w:rsid w:val="008A6C0E"/>
    <w:rsid w:val="008A74F2"/>
    <w:rsid w:val="008B01D5"/>
    <w:rsid w:val="008B0A86"/>
    <w:rsid w:val="008B10BC"/>
    <w:rsid w:val="008B1745"/>
    <w:rsid w:val="008B3197"/>
    <w:rsid w:val="008B4C64"/>
    <w:rsid w:val="008B4DB2"/>
    <w:rsid w:val="008B4E09"/>
    <w:rsid w:val="008B4F95"/>
    <w:rsid w:val="008B544C"/>
    <w:rsid w:val="008B55FB"/>
    <w:rsid w:val="008B658D"/>
    <w:rsid w:val="008B6C02"/>
    <w:rsid w:val="008B6F8B"/>
    <w:rsid w:val="008B7311"/>
    <w:rsid w:val="008B766A"/>
    <w:rsid w:val="008B790A"/>
    <w:rsid w:val="008C07E0"/>
    <w:rsid w:val="008C11B0"/>
    <w:rsid w:val="008C2B0B"/>
    <w:rsid w:val="008C3265"/>
    <w:rsid w:val="008C36EF"/>
    <w:rsid w:val="008C37E7"/>
    <w:rsid w:val="008C3D61"/>
    <w:rsid w:val="008C3D8E"/>
    <w:rsid w:val="008C3DFF"/>
    <w:rsid w:val="008C3EEF"/>
    <w:rsid w:val="008C431C"/>
    <w:rsid w:val="008C61F9"/>
    <w:rsid w:val="008C6D0D"/>
    <w:rsid w:val="008C76F4"/>
    <w:rsid w:val="008C7E46"/>
    <w:rsid w:val="008D0147"/>
    <w:rsid w:val="008D0F06"/>
    <w:rsid w:val="008D1F62"/>
    <w:rsid w:val="008D2833"/>
    <w:rsid w:val="008D2BF3"/>
    <w:rsid w:val="008D2E20"/>
    <w:rsid w:val="008D31FB"/>
    <w:rsid w:val="008D3923"/>
    <w:rsid w:val="008D3BB3"/>
    <w:rsid w:val="008D42D7"/>
    <w:rsid w:val="008D44D1"/>
    <w:rsid w:val="008D4AE1"/>
    <w:rsid w:val="008D4CE0"/>
    <w:rsid w:val="008D4EF3"/>
    <w:rsid w:val="008D4F82"/>
    <w:rsid w:val="008D5538"/>
    <w:rsid w:val="008D5C70"/>
    <w:rsid w:val="008D67ED"/>
    <w:rsid w:val="008D68E4"/>
    <w:rsid w:val="008D69F3"/>
    <w:rsid w:val="008D6AD9"/>
    <w:rsid w:val="008D6BC5"/>
    <w:rsid w:val="008D6E11"/>
    <w:rsid w:val="008D73C3"/>
    <w:rsid w:val="008D7DE6"/>
    <w:rsid w:val="008E00C1"/>
    <w:rsid w:val="008E0368"/>
    <w:rsid w:val="008E093A"/>
    <w:rsid w:val="008E0CA7"/>
    <w:rsid w:val="008E0EBD"/>
    <w:rsid w:val="008E1C25"/>
    <w:rsid w:val="008E2071"/>
    <w:rsid w:val="008E240A"/>
    <w:rsid w:val="008E2537"/>
    <w:rsid w:val="008E3868"/>
    <w:rsid w:val="008E3B55"/>
    <w:rsid w:val="008E3EDB"/>
    <w:rsid w:val="008E49C4"/>
    <w:rsid w:val="008E4C8E"/>
    <w:rsid w:val="008E5109"/>
    <w:rsid w:val="008E51DE"/>
    <w:rsid w:val="008E5E14"/>
    <w:rsid w:val="008E5E84"/>
    <w:rsid w:val="008E5F5C"/>
    <w:rsid w:val="008E64E7"/>
    <w:rsid w:val="008E6FA9"/>
    <w:rsid w:val="008E75B5"/>
    <w:rsid w:val="008E7DAD"/>
    <w:rsid w:val="008E7EB0"/>
    <w:rsid w:val="008F135E"/>
    <w:rsid w:val="008F15D7"/>
    <w:rsid w:val="008F1D01"/>
    <w:rsid w:val="008F20C5"/>
    <w:rsid w:val="008F48B6"/>
    <w:rsid w:val="008F56AC"/>
    <w:rsid w:val="008F6BF0"/>
    <w:rsid w:val="008F6E42"/>
    <w:rsid w:val="008F6E5B"/>
    <w:rsid w:val="008F71A3"/>
    <w:rsid w:val="008F74A0"/>
    <w:rsid w:val="008F7A1D"/>
    <w:rsid w:val="008F7FCD"/>
    <w:rsid w:val="00900583"/>
    <w:rsid w:val="0090097B"/>
    <w:rsid w:val="00900B35"/>
    <w:rsid w:val="00901241"/>
    <w:rsid w:val="009013AC"/>
    <w:rsid w:val="00901651"/>
    <w:rsid w:val="00901A45"/>
    <w:rsid w:val="00901FCD"/>
    <w:rsid w:val="00902570"/>
    <w:rsid w:val="0090404D"/>
    <w:rsid w:val="0090424C"/>
    <w:rsid w:val="00904306"/>
    <w:rsid w:val="009047E2"/>
    <w:rsid w:val="009049C6"/>
    <w:rsid w:val="00905017"/>
    <w:rsid w:val="00905BE9"/>
    <w:rsid w:val="00905C9B"/>
    <w:rsid w:val="00906003"/>
    <w:rsid w:val="00906346"/>
    <w:rsid w:val="009066D3"/>
    <w:rsid w:val="0090693F"/>
    <w:rsid w:val="00906A4D"/>
    <w:rsid w:val="00906B22"/>
    <w:rsid w:val="00906D31"/>
    <w:rsid w:val="009070BC"/>
    <w:rsid w:val="00907618"/>
    <w:rsid w:val="009076B6"/>
    <w:rsid w:val="009076C2"/>
    <w:rsid w:val="0091038D"/>
    <w:rsid w:val="009103E2"/>
    <w:rsid w:val="00910B3C"/>
    <w:rsid w:val="009124FA"/>
    <w:rsid w:val="009132D4"/>
    <w:rsid w:val="00913488"/>
    <w:rsid w:val="009136A3"/>
    <w:rsid w:val="0091390A"/>
    <w:rsid w:val="00913DC9"/>
    <w:rsid w:val="00913DE5"/>
    <w:rsid w:val="00914358"/>
    <w:rsid w:val="0091498D"/>
    <w:rsid w:val="009156E9"/>
    <w:rsid w:val="00915845"/>
    <w:rsid w:val="009163DC"/>
    <w:rsid w:val="009165D2"/>
    <w:rsid w:val="009203CB"/>
    <w:rsid w:val="009206CA"/>
    <w:rsid w:val="00920739"/>
    <w:rsid w:val="00920A5F"/>
    <w:rsid w:val="00920C0D"/>
    <w:rsid w:val="009210B9"/>
    <w:rsid w:val="00921566"/>
    <w:rsid w:val="00921574"/>
    <w:rsid w:val="00921EDE"/>
    <w:rsid w:val="00922090"/>
    <w:rsid w:val="0092279A"/>
    <w:rsid w:val="00923955"/>
    <w:rsid w:val="00923B61"/>
    <w:rsid w:val="00923CB9"/>
    <w:rsid w:val="009241D6"/>
    <w:rsid w:val="00924D2C"/>
    <w:rsid w:val="0092514D"/>
    <w:rsid w:val="00925A65"/>
    <w:rsid w:val="00926103"/>
    <w:rsid w:val="0092613B"/>
    <w:rsid w:val="0092615F"/>
    <w:rsid w:val="009261B7"/>
    <w:rsid w:val="00927B19"/>
    <w:rsid w:val="00927B79"/>
    <w:rsid w:val="00927DE0"/>
    <w:rsid w:val="00927F6A"/>
    <w:rsid w:val="00930094"/>
    <w:rsid w:val="009300E6"/>
    <w:rsid w:val="009302EF"/>
    <w:rsid w:val="009303A4"/>
    <w:rsid w:val="00930938"/>
    <w:rsid w:val="009314AA"/>
    <w:rsid w:val="009319DD"/>
    <w:rsid w:val="0093225A"/>
    <w:rsid w:val="00932A00"/>
    <w:rsid w:val="0093308D"/>
    <w:rsid w:val="00933252"/>
    <w:rsid w:val="009334A3"/>
    <w:rsid w:val="009334E6"/>
    <w:rsid w:val="0093397D"/>
    <w:rsid w:val="0093421A"/>
    <w:rsid w:val="0093445F"/>
    <w:rsid w:val="0093467E"/>
    <w:rsid w:val="00934976"/>
    <w:rsid w:val="00934A45"/>
    <w:rsid w:val="009352BC"/>
    <w:rsid w:val="0093544E"/>
    <w:rsid w:val="0093558F"/>
    <w:rsid w:val="00935C3C"/>
    <w:rsid w:val="00935CBB"/>
    <w:rsid w:val="00935D76"/>
    <w:rsid w:val="00935FDD"/>
    <w:rsid w:val="00936BFF"/>
    <w:rsid w:val="009371BD"/>
    <w:rsid w:val="00937A90"/>
    <w:rsid w:val="00937B8E"/>
    <w:rsid w:val="0094063B"/>
    <w:rsid w:val="00940767"/>
    <w:rsid w:val="0094080F"/>
    <w:rsid w:val="00941203"/>
    <w:rsid w:val="00941314"/>
    <w:rsid w:val="009414FA"/>
    <w:rsid w:val="0094194D"/>
    <w:rsid w:val="00941BFC"/>
    <w:rsid w:val="00942CEC"/>
    <w:rsid w:val="00942D1D"/>
    <w:rsid w:val="009434B4"/>
    <w:rsid w:val="00943DC0"/>
    <w:rsid w:val="00943EBF"/>
    <w:rsid w:val="00944141"/>
    <w:rsid w:val="00944528"/>
    <w:rsid w:val="009445AC"/>
    <w:rsid w:val="00944873"/>
    <w:rsid w:val="00944CF3"/>
    <w:rsid w:val="009454CF"/>
    <w:rsid w:val="0094605F"/>
    <w:rsid w:val="00946153"/>
    <w:rsid w:val="00946FC5"/>
    <w:rsid w:val="00947017"/>
    <w:rsid w:val="0095030C"/>
    <w:rsid w:val="0095148E"/>
    <w:rsid w:val="009515AB"/>
    <w:rsid w:val="00951674"/>
    <w:rsid w:val="00951873"/>
    <w:rsid w:val="009519F3"/>
    <w:rsid w:val="00951C61"/>
    <w:rsid w:val="00951D97"/>
    <w:rsid w:val="009520D7"/>
    <w:rsid w:val="00952906"/>
    <w:rsid w:val="009537D6"/>
    <w:rsid w:val="00953C4A"/>
    <w:rsid w:val="00953D7F"/>
    <w:rsid w:val="0095573B"/>
    <w:rsid w:val="009565E2"/>
    <w:rsid w:val="00956850"/>
    <w:rsid w:val="009569C9"/>
    <w:rsid w:val="00956B83"/>
    <w:rsid w:val="00956C9E"/>
    <w:rsid w:val="00956D79"/>
    <w:rsid w:val="0095702D"/>
    <w:rsid w:val="00957E80"/>
    <w:rsid w:val="00960DCC"/>
    <w:rsid w:val="009612D1"/>
    <w:rsid w:val="009613C8"/>
    <w:rsid w:val="009614F3"/>
    <w:rsid w:val="00961EF2"/>
    <w:rsid w:val="00962A79"/>
    <w:rsid w:val="0096416C"/>
    <w:rsid w:val="009643B0"/>
    <w:rsid w:val="009647C8"/>
    <w:rsid w:val="00964862"/>
    <w:rsid w:val="009651CA"/>
    <w:rsid w:val="0096577E"/>
    <w:rsid w:val="0096597C"/>
    <w:rsid w:val="00965CC5"/>
    <w:rsid w:val="00966011"/>
    <w:rsid w:val="009664E9"/>
    <w:rsid w:val="00966BED"/>
    <w:rsid w:val="00966F91"/>
    <w:rsid w:val="009675BE"/>
    <w:rsid w:val="00970022"/>
    <w:rsid w:val="00970D85"/>
    <w:rsid w:val="0097100F"/>
    <w:rsid w:val="009727F3"/>
    <w:rsid w:val="00972E50"/>
    <w:rsid w:val="009731D1"/>
    <w:rsid w:val="00973B02"/>
    <w:rsid w:val="00973D39"/>
    <w:rsid w:val="00974354"/>
    <w:rsid w:val="0097451E"/>
    <w:rsid w:val="0097474E"/>
    <w:rsid w:val="0097538A"/>
    <w:rsid w:val="009753C5"/>
    <w:rsid w:val="00975A4D"/>
    <w:rsid w:val="00975DC5"/>
    <w:rsid w:val="009762F2"/>
    <w:rsid w:val="0097642C"/>
    <w:rsid w:val="00977D1F"/>
    <w:rsid w:val="00980642"/>
    <w:rsid w:val="00980DBE"/>
    <w:rsid w:val="00980FDC"/>
    <w:rsid w:val="009817CC"/>
    <w:rsid w:val="00981E35"/>
    <w:rsid w:val="00982391"/>
    <w:rsid w:val="00982707"/>
    <w:rsid w:val="00982B3D"/>
    <w:rsid w:val="00982EB9"/>
    <w:rsid w:val="00983D40"/>
    <w:rsid w:val="00984006"/>
    <w:rsid w:val="009841EC"/>
    <w:rsid w:val="009842AD"/>
    <w:rsid w:val="00984724"/>
    <w:rsid w:val="00984D72"/>
    <w:rsid w:val="00986946"/>
    <w:rsid w:val="009873AE"/>
    <w:rsid w:val="00987851"/>
    <w:rsid w:val="00987D3B"/>
    <w:rsid w:val="009901D6"/>
    <w:rsid w:val="009905A9"/>
    <w:rsid w:val="009908C0"/>
    <w:rsid w:val="0099190E"/>
    <w:rsid w:val="00991FFA"/>
    <w:rsid w:val="009926F5"/>
    <w:rsid w:val="00992987"/>
    <w:rsid w:val="00993119"/>
    <w:rsid w:val="00993439"/>
    <w:rsid w:val="00994FC4"/>
    <w:rsid w:val="00995BB2"/>
    <w:rsid w:val="00995C83"/>
    <w:rsid w:val="009963FB"/>
    <w:rsid w:val="009966E0"/>
    <w:rsid w:val="00996714"/>
    <w:rsid w:val="00996B2F"/>
    <w:rsid w:val="00997248"/>
    <w:rsid w:val="009972A4"/>
    <w:rsid w:val="009974DC"/>
    <w:rsid w:val="0099751C"/>
    <w:rsid w:val="009979CE"/>
    <w:rsid w:val="00997D03"/>
    <w:rsid w:val="00997D49"/>
    <w:rsid w:val="009A09A3"/>
    <w:rsid w:val="009A0E20"/>
    <w:rsid w:val="009A11E4"/>
    <w:rsid w:val="009A16C2"/>
    <w:rsid w:val="009A1B6C"/>
    <w:rsid w:val="009A2495"/>
    <w:rsid w:val="009A349C"/>
    <w:rsid w:val="009A3573"/>
    <w:rsid w:val="009A3A89"/>
    <w:rsid w:val="009A4186"/>
    <w:rsid w:val="009A441D"/>
    <w:rsid w:val="009A4B57"/>
    <w:rsid w:val="009A4BB4"/>
    <w:rsid w:val="009A4BBC"/>
    <w:rsid w:val="009A59DA"/>
    <w:rsid w:val="009A5B16"/>
    <w:rsid w:val="009A5BA4"/>
    <w:rsid w:val="009A5BBF"/>
    <w:rsid w:val="009A5D22"/>
    <w:rsid w:val="009A620D"/>
    <w:rsid w:val="009A6DD3"/>
    <w:rsid w:val="009A6FDB"/>
    <w:rsid w:val="009A72CE"/>
    <w:rsid w:val="009A74F3"/>
    <w:rsid w:val="009A75B6"/>
    <w:rsid w:val="009A7861"/>
    <w:rsid w:val="009B03DB"/>
    <w:rsid w:val="009B061F"/>
    <w:rsid w:val="009B0FAA"/>
    <w:rsid w:val="009B1482"/>
    <w:rsid w:val="009B15B0"/>
    <w:rsid w:val="009B22BF"/>
    <w:rsid w:val="009B2B84"/>
    <w:rsid w:val="009B2D31"/>
    <w:rsid w:val="009B4109"/>
    <w:rsid w:val="009B428E"/>
    <w:rsid w:val="009B440A"/>
    <w:rsid w:val="009B4627"/>
    <w:rsid w:val="009B463B"/>
    <w:rsid w:val="009B473A"/>
    <w:rsid w:val="009B50F2"/>
    <w:rsid w:val="009B53B6"/>
    <w:rsid w:val="009B5BA3"/>
    <w:rsid w:val="009B5F12"/>
    <w:rsid w:val="009B6870"/>
    <w:rsid w:val="009B69D7"/>
    <w:rsid w:val="009B6BDD"/>
    <w:rsid w:val="009B6ED3"/>
    <w:rsid w:val="009B7915"/>
    <w:rsid w:val="009B7A59"/>
    <w:rsid w:val="009C11F6"/>
    <w:rsid w:val="009C1FAD"/>
    <w:rsid w:val="009C2F4A"/>
    <w:rsid w:val="009C3E77"/>
    <w:rsid w:val="009C400D"/>
    <w:rsid w:val="009C4016"/>
    <w:rsid w:val="009C435D"/>
    <w:rsid w:val="009C44E7"/>
    <w:rsid w:val="009C4FA5"/>
    <w:rsid w:val="009C644A"/>
    <w:rsid w:val="009C6576"/>
    <w:rsid w:val="009C685B"/>
    <w:rsid w:val="009C6B5C"/>
    <w:rsid w:val="009C6C1F"/>
    <w:rsid w:val="009C78ED"/>
    <w:rsid w:val="009C79AF"/>
    <w:rsid w:val="009C7AF0"/>
    <w:rsid w:val="009D0FCE"/>
    <w:rsid w:val="009D1636"/>
    <w:rsid w:val="009D1968"/>
    <w:rsid w:val="009D1A5F"/>
    <w:rsid w:val="009D1CFF"/>
    <w:rsid w:val="009D24D3"/>
    <w:rsid w:val="009D25D4"/>
    <w:rsid w:val="009D2894"/>
    <w:rsid w:val="009D2B09"/>
    <w:rsid w:val="009D3425"/>
    <w:rsid w:val="009D44EA"/>
    <w:rsid w:val="009D5C43"/>
    <w:rsid w:val="009D5DB4"/>
    <w:rsid w:val="009D60F3"/>
    <w:rsid w:val="009D65D6"/>
    <w:rsid w:val="009D6D87"/>
    <w:rsid w:val="009D763F"/>
    <w:rsid w:val="009D76BE"/>
    <w:rsid w:val="009D7B66"/>
    <w:rsid w:val="009E03A4"/>
    <w:rsid w:val="009E05DE"/>
    <w:rsid w:val="009E0960"/>
    <w:rsid w:val="009E09E4"/>
    <w:rsid w:val="009E1199"/>
    <w:rsid w:val="009E12DB"/>
    <w:rsid w:val="009E159B"/>
    <w:rsid w:val="009E1E0D"/>
    <w:rsid w:val="009E1FB9"/>
    <w:rsid w:val="009E200F"/>
    <w:rsid w:val="009E2EE6"/>
    <w:rsid w:val="009E3D80"/>
    <w:rsid w:val="009E56BA"/>
    <w:rsid w:val="009E6A96"/>
    <w:rsid w:val="009E7DE5"/>
    <w:rsid w:val="009E7E12"/>
    <w:rsid w:val="009F0D23"/>
    <w:rsid w:val="009F2DD9"/>
    <w:rsid w:val="009F34E1"/>
    <w:rsid w:val="009F3F28"/>
    <w:rsid w:val="009F41D8"/>
    <w:rsid w:val="009F4245"/>
    <w:rsid w:val="009F507F"/>
    <w:rsid w:val="009F5418"/>
    <w:rsid w:val="009F542A"/>
    <w:rsid w:val="009F5605"/>
    <w:rsid w:val="009F5B28"/>
    <w:rsid w:val="009F5D57"/>
    <w:rsid w:val="009F60E8"/>
    <w:rsid w:val="009F691E"/>
    <w:rsid w:val="009F701D"/>
    <w:rsid w:val="009F70CA"/>
    <w:rsid w:val="009F7894"/>
    <w:rsid w:val="009F796E"/>
    <w:rsid w:val="009F7E80"/>
    <w:rsid w:val="009F7EA9"/>
    <w:rsid w:val="00A00940"/>
    <w:rsid w:val="00A012B0"/>
    <w:rsid w:val="00A014C3"/>
    <w:rsid w:val="00A020A0"/>
    <w:rsid w:val="00A03544"/>
    <w:rsid w:val="00A047D2"/>
    <w:rsid w:val="00A054DE"/>
    <w:rsid w:val="00A0554B"/>
    <w:rsid w:val="00A05DD1"/>
    <w:rsid w:val="00A0612B"/>
    <w:rsid w:val="00A065C5"/>
    <w:rsid w:val="00A07114"/>
    <w:rsid w:val="00A10253"/>
    <w:rsid w:val="00A105C0"/>
    <w:rsid w:val="00A112B5"/>
    <w:rsid w:val="00A11499"/>
    <w:rsid w:val="00A12BEC"/>
    <w:rsid w:val="00A12DDF"/>
    <w:rsid w:val="00A12EF5"/>
    <w:rsid w:val="00A12F1B"/>
    <w:rsid w:val="00A13170"/>
    <w:rsid w:val="00A132E5"/>
    <w:rsid w:val="00A13465"/>
    <w:rsid w:val="00A1458E"/>
    <w:rsid w:val="00A14D97"/>
    <w:rsid w:val="00A14E18"/>
    <w:rsid w:val="00A15938"/>
    <w:rsid w:val="00A15D38"/>
    <w:rsid w:val="00A16974"/>
    <w:rsid w:val="00A16D3E"/>
    <w:rsid w:val="00A16D4F"/>
    <w:rsid w:val="00A201BC"/>
    <w:rsid w:val="00A206E1"/>
    <w:rsid w:val="00A2091F"/>
    <w:rsid w:val="00A21674"/>
    <w:rsid w:val="00A219B0"/>
    <w:rsid w:val="00A21A38"/>
    <w:rsid w:val="00A23220"/>
    <w:rsid w:val="00A23981"/>
    <w:rsid w:val="00A2404D"/>
    <w:rsid w:val="00A24715"/>
    <w:rsid w:val="00A247C0"/>
    <w:rsid w:val="00A26586"/>
    <w:rsid w:val="00A266B3"/>
    <w:rsid w:val="00A27035"/>
    <w:rsid w:val="00A275FD"/>
    <w:rsid w:val="00A2778A"/>
    <w:rsid w:val="00A27D6E"/>
    <w:rsid w:val="00A27F19"/>
    <w:rsid w:val="00A30117"/>
    <w:rsid w:val="00A30351"/>
    <w:rsid w:val="00A30730"/>
    <w:rsid w:val="00A30D87"/>
    <w:rsid w:val="00A30DEC"/>
    <w:rsid w:val="00A311B3"/>
    <w:rsid w:val="00A313CB"/>
    <w:rsid w:val="00A314FB"/>
    <w:rsid w:val="00A32143"/>
    <w:rsid w:val="00A32923"/>
    <w:rsid w:val="00A3296A"/>
    <w:rsid w:val="00A32C8F"/>
    <w:rsid w:val="00A32EE1"/>
    <w:rsid w:val="00A335D7"/>
    <w:rsid w:val="00A33684"/>
    <w:rsid w:val="00A33FE0"/>
    <w:rsid w:val="00A344BF"/>
    <w:rsid w:val="00A3489C"/>
    <w:rsid w:val="00A3515F"/>
    <w:rsid w:val="00A3691B"/>
    <w:rsid w:val="00A36D53"/>
    <w:rsid w:val="00A400B3"/>
    <w:rsid w:val="00A401A7"/>
    <w:rsid w:val="00A40A8C"/>
    <w:rsid w:val="00A40B13"/>
    <w:rsid w:val="00A41E0C"/>
    <w:rsid w:val="00A42977"/>
    <w:rsid w:val="00A4342D"/>
    <w:rsid w:val="00A43947"/>
    <w:rsid w:val="00A43DDA"/>
    <w:rsid w:val="00A43E20"/>
    <w:rsid w:val="00A43E9D"/>
    <w:rsid w:val="00A44164"/>
    <w:rsid w:val="00A4441D"/>
    <w:rsid w:val="00A4445E"/>
    <w:rsid w:val="00A4472F"/>
    <w:rsid w:val="00A44AE5"/>
    <w:rsid w:val="00A45599"/>
    <w:rsid w:val="00A457C0"/>
    <w:rsid w:val="00A46500"/>
    <w:rsid w:val="00A46634"/>
    <w:rsid w:val="00A47921"/>
    <w:rsid w:val="00A50264"/>
    <w:rsid w:val="00A5027C"/>
    <w:rsid w:val="00A5070D"/>
    <w:rsid w:val="00A50AD2"/>
    <w:rsid w:val="00A51120"/>
    <w:rsid w:val="00A5275C"/>
    <w:rsid w:val="00A529A1"/>
    <w:rsid w:val="00A52F7D"/>
    <w:rsid w:val="00A5331A"/>
    <w:rsid w:val="00A53621"/>
    <w:rsid w:val="00A5379B"/>
    <w:rsid w:val="00A544B1"/>
    <w:rsid w:val="00A549B8"/>
    <w:rsid w:val="00A54BFC"/>
    <w:rsid w:val="00A54C45"/>
    <w:rsid w:val="00A54CC7"/>
    <w:rsid w:val="00A550DE"/>
    <w:rsid w:val="00A556A0"/>
    <w:rsid w:val="00A55A45"/>
    <w:rsid w:val="00A55A4A"/>
    <w:rsid w:val="00A56B18"/>
    <w:rsid w:val="00A56B30"/>
    <w:rsid w:val="00A56B9A"/>
    <w:rsid w:val="00A56DBA"/>
    <w:rsid w:val="00A56F5E"/>
    <w:rsid w:val="00A570F9"/>
    <w:rsid w:val="00A5727E"/>
    <w:rsid w:val="00A57C1E"/>
    <w:rsid w:val="00A57CBF"/>
    <w:rsid w:val="00A60A1B"/>
    <w:rsid w:val="00A60DFD"/>
    <w:rsid w:val="00A60F3F"/>
    <w:rsid w:val="00A61055"/>
    <w:rsid w:val="00A6212F"/>
    <w:rsid w:val="00A62706"/>
    <w:rsid w:val="00A627D4"/>
    <w:rsid w:val="00A62B08"/>
    <w:rsid w:val="00A62EDB"/>
    <w:rsid w:val="00A63860"/>
    <w:rsid w:val="00A63960"/>
    <w:rsid w:val="00A63FC1"/>
    <w:rsid w:val="00A64EC4"/>
    <w:rsid w:val="00A652E5"/>
    <w:rsid w:val="00A65367"/>
    <w:rsid w:val="00A654E9"/>
    <w:rsid w:val="00A66A2E"/>
    <w:rsid w:val="00A66D36"/>
    <w:rsid w:val="00A67059"/>
    <w:rsid w:val="00A67630"/>
    <w:rsid w:val="00A67DE3"/>
    <w:rsid w:val="00A67ED1"/>
    <w:rsid w:val="00A67F78"/>
    <w:rsid w:val="00A70B94"/>
    <w:rsid w:val="00A70F93"/>
    <w:rsid w:val="00A715F9"/>
    <w:rsid w:val="00A716D1"/>
    <w:rsid w:val="00A71872"/>
    <w:rsid w:val="00A71A2E"/>
    <w:rsid w:val="00A72705"/>
    <w:rsid w:val="00A72728"/>
    <w:rsid w:val="00A727D7"/>
    <w:rsid w:val="00A72AC7"/>
    <w:rsid w:val="00A73538"/>
    <w:rsid w:val="00A73A29"/>
    <w:rsid w:val="00A73AFA"/>
    <w:rsid w:val="00A73C75"/>
    <w:rsid w:val="00A74820"/>
    <w:rsid w:val="00A74A6F"/>
    <w:rsid w:val="00A7583D"/>
    <w:rsid w:val="00A75CD5"/>
    <w:rsid w:val="00A762D6"/>
    <w:rsid w:val="00A76747"/>
    <w:rsid w:val="00A76934"/>
    <w:rsid w:val="00A76DF8"/>
    <w:rsid w:val="00A7717A"/>
    <w:rsid w:val="00A776BB"/>
    <w:rsid w:val="00A77CA5"/>
    <w:rsid w:val="00A80620"/>
    <w:rsid w:val="00A80C0A"/>
    <w:rsid w:val="00A8162E"/>
    <w:rsid w:val="00A8173B"/>
    <w:rsid w:val="00A82004"/>
    <w:rsid w:val="00A8291F"/>
    <w:rsid w:val="00A82EF1"/>
    <w:rsid w:val="00A83945"/>
    <w:rsid w:val="00A8440D"/>
    <w:rsid w:val="00A84C51"/>
    <w:rsid w:val="00A85022"/>
    <w:rsid w:val="00A85C2D"/>
    <w:rsid w:val="00A864D7"/>
    <w:rsid w:val="00A8662F"/>
    <w:rsid w:val="00A87308"/>
    <w:rsid w:val="00A9055F"/>
    <w:rsid w:val="00A91C3C"/>
    <w:rsid w:val="00A92924"/>
    <w:rsid w:val="00A92D10"/>
    <w:rsid w:val="00A9301D"/>
    <w:rsid w:val="00A934D3"/>
    <w:rsid w:val="00A939FA"/>
    <w:rsid w:val="00A93E9C"/>
    <w:rsid w:val="00A945A5"/>
    <w:rsid w:val="00A948F4"/>
    <w:rsid w:val="00A94D08"/>
    <w:rsid w:val="00A96651"/>
    <w:rsid w:val="00A96D62"/>
    <w:rsid w:val="00A96FFC"/>
    <w:rsid w:val="00AA02E1"/>
    <w:rsid w:val="00AA0312"/>
    <w:rsid w:val="00AA0983"/>
    <w:rsid w:val="00AA0C03"/>
    <w:rsid w:val="00AA0FD5"/>
    <w:rsid w:val="00AA10C3"/>
    <w:rsid w:val="00AA140F"/>
    <w:rsid w:val="00AA1489"/>
    <w:rsid w:val="00AA17E3"/>
    <w:rsid w:val="00AA18B1"/>
    <w:rsid w:val="00AA18BD"/>
    <w:rsid w:val="00AA220D"/>
    <w:rsid w:val="00AA2715"/>
    <w:rsid w:val="00AA29C3"/>
    <w:rsid w:val="00AA2E12"/>
    <w:rsid w:val="00AA3177"/>
    <w:rsid w:val="00AA31A4"/>
    <w:rsid w:val="00AA3AE4"/>
    <w:rsid w:val="00AA3EBF"/>
    <w:rsid w:val="00AA3FBD"/>
    <w:rsid w:val="00AA4497"/>
    <w:rsid w:val="00AA453F"/>
    <w:rsid w:val="00AA467D"/>
    <w:rsid w:val="00AA4DAE"/>
    <w:rsid w:val="00AA5B22"/>
    <w:rsid w:val="00AA610A"/>
    <w:rsid w:val="00AA6612"/>
    <w:rsid w:val="00AA6C7A"/>
    <w:rsid w:val="00AA78C8"/>
    <w:rsid w:val="00AA7A02"/>
    <w:rsid w:val="00AA7A9A"/>
    <w:rsid w:val="00AB045F"/>
    <w:rsid w:val="00AB178C"/>
    <w:rsid w:val="00AB199B"/>
    <w:rsid w:val="00AB1A0F"/>
    <w:rsid w:val="00AB2A68"/>
    <w:rsid w:val="00AB3C87"/>
    <w:rsid w:val="00AB4A21"/>
    <w:rsid w:val="00AB4C37"/>
    <w:rsid w:val="00AB4FAA"/>
    <w:rsid w:val="00AB51A0"/>
    <w:rsid w:val="00AB5259"/>
    <w:rsid w:val="00AB5890"/>
    <w:rsid w:val="00AB5BA9"/>
    <w:rsid w:val="00AB5BEA"/>
    <w:rsid w:val="00AB6012"/>
    <w:rsid w:val="00AB60B5"/>
    <w:rsid w:val="00AB60F8"/>
    <w:rsid w:val="00AB742A"/>
    <w:rsid w:val="00AB7848"/>
    <w:rsid w:val="00AB7AFE"/>
    <w:rsid w:val="00AB7B78"/>
    <w:rsid w:val="00AC0221"/>
    <w:rsid w:val="00AC04E4"/>
    <w:rsid w:val="00AC113B"/>
    <w:rsid w:val="00AC1C55"/>
    <w:rsid w:val="00AC1CD1"/>
    <w:rsid w:val="00AC21E2"/>
    <w:rsid w:val="00AC288A"/>
    <w:rsid w:val="00AC2977"/>
    <w:rsid w:val="00AC2C13"/>
    <w:rsid w:val="00AC2FAC"/>
    <w:rsid w:val="00AC341C"/>
    <w:rsid w:val="00AC35D0"/>
    <w:rsid w:val="00AC3C36"/>
    <w:rsid w:val="00AC3C7B"/>
    <w:rsid w:val="00AC4485"/>
    <w:rsid w:val="00AC4880"/>
    <w:rsid w:val="00AC48FE"/>
    <w:rsid w:val="00AC4DCD"/>
    <w:rsid w:val="00AC5015"/>
    <w:rsid w:val="00AC51A8"/>
    <w:rsid w:val="00AC5830"/>
    <w:rsid w:val="00AC5EC1"/>
    <w:rsid w:val="00AC6090"/>
    <w:rsid w:val="00AC6299"/>
    <w:rsid w:val="00AC6566"/>
    <w:rsid w:val="00AC68C6"/>
    <w:rsid w:val="00AC7241"/>
    <w:rsid w:val="00AD018E"/>
    <w:rsid w:val="00AD0479"/>
    <w:rsid w:val="00AD0A63"/>
    <w:rsid w:val="00AD0B48"/>
    <w:rsid w:val="00AD1055"/>
    <w:rsid w:val="00AD114D"/>
    <w:rsid w:val="00AD18FC"/>
    <w:rsid w:val="00AD19B7"/>
    <w:rsid w:val="00AD1E95"/>
    <w:rsid w:val="00AD1F76"/>
    <w:rsid w:val="00AD2377"/>
    <w:rsid w:val="00AD305C"/>
    <w:rsid w:val="00AD3B89"/>
    <w:rsid w:val="00AD3DE1"/>
    <w:rsid w:val="00AD3F00"/>
    <w:rsid w:val="00AD4044"/>
    <w:rsid w:val="00AD41AC"/>
    <w:rsid w:val="00AD55CE"/>
    <w:rsid w:val="00AD568E"/>
    <w:rsid w:val="00AD5702"/>
    <w:rsid w:val="00AD5CD5"/>
    <w:rsid w:val="00AD758E"/>
    <w:rsid w:val="00AD7ADE"/>
    <w:rsid w:val="00AD7BFF"/>
    <w:rsid w:val="00AD7EE3"/>
    <w:rsid w:val="00AE011C"/>
    <w:rsid w:val="00AE0140"/>
    <w:rsid w:val="00AE02ED"/>
    <w:rsid w:val="00AE1503"/>
    <w:rsid w:val="00AE165C"/>
    <w:rsid w:val="00AE1842"/>
    <w:rsid w:val="00AE1D32"/>
    <w:rsid w:val="00AE2109"/>
    <w:rsid w:val="00AE27B6"/>
    <w:rsid w:val="00AE280D"/>
    <w:rsid w:val="00AE29EC"/>
    <w:rsid w:val="00AE2CA3"/>
    <w:rsid w:val="00AE33B4"/>
    <w:rsid w:val="00AE3860"/>
    <w:rsid w:val="00AE397E"/>
    <w:rsid w:val="00AE3A04"/>
    <w:rsid w:val="00AE3BC2"/>
    <w:rsid w:val="00AE3E42"/>
    <w:rsid w:val="00AE417B"/>
    <w:rsid w:val="00AE421F"/>
    <w:rsid w:val="00AE5213"/>
    <w:rsid w:val="00AE5575"/>
    <w:rsid w:val="00AE5685"/>
    <w:rsid w:val="00AE5A13"/>
    <w:rsid w:val="00AE5A49"/>
    <w:rsid w:val="00AE66CF"/>
    <w:rsid w:val="00AE6A41"/>
    <w:rsid w:val="00AE70A7"/>
    <w:rsid w:val="00AE77FA"/>
    <w:rsid w:val="00AE7B1C"/>
    <w:rsid w:val="00AE7E4C"/>
    <w:rsid w:val="00AE7F36"/>
    <w:rsid w:val="00AF068D"/>
    <w:rsid w:val="00AF0FD1"/>
    <w:rsid w:val="00AF1388"/>
    <w:rsid w:val="00AF1634"/>
    <w:rsid w:val="00AF1EF9"/>
    <w:rsid w:val="00AF1F65"/>
    <w:rsid w:val="00AF1FDD"/>
    <w:rsid w:val="00AF2042"/>
    <w:rsid w:val="00AF2510"/>
    <w:rsid w:val="00AF272C"/>
    <w:rsid w:val="00AF291A"/>
    <w:rsid w:val="00AF2D9E"/>
    <w:rsid w:val="00AF37AA"/>
    <w:rsid w:val="00AF3A9E"/>
    <w:rsid w:val="00AF3D44"/>
    <w:rsid w:val="00AF4433"/>
    <w:rsid w:val="00AF497D"/>
    <w:rsid w:val="00AF54CA"/>
    <w:rsid w:val="00AF56C1"/>
    <w:rsid w:val="00AF59D7"/>
    <w:rsid w:val="00AF63F5"/>
    <w:rsid w:val="00AF6728"/>
    <w:rsid w:val="00AF6B62"/>
    <w:rsid w:val="00AF6C50"/>
    <w:rsid w:val="00AF6F3C"/>
    <w:rsid w:val="00AF7B9A"/>
    <w:rsid w:val="00B00E4A"/>
    <w:rsid w:val="00B010D0"/>
    <w:rsid w:val="00B01AE6"/>
    <w:rsid w:val="00B01F45"/>
    <w:rsid w:val="00B02E52"/>
    <w:rsid w:val="00B02F2A"/>
    <w:rsid w:val="00B02F38"/>
    <w:rsid w:val="00B02FCF"/>
    <w:rsid w:val="00B03005"/>
    <w:rsid w:val="00B03CFB"/>
    <w:rsid w:val="00B041ED"/>
    <w:rsid w:val="00B041FB"/>
    <w:rsid w:val="00B04641"/>
    <w:rsid w:val="00B04B63"/>
    <w:rsid w:val="00B04C2A"/>
    <w:rsid w:val="00B04E6A"/>
    <w:rsid w:val="00B05349"/>
    <w:rsid w:val="00B05815"/>
    <w:rsid w:val="00B0634B"/>
    <w:rsid w:val="00B07030"/>
    <w:rsid w:val="00B0717D"/>
    <w:rsid w:val="00B07408"/>
    <w:rsid w:val="00B07527"/>
    <w:rsid w:val="00B076E7"/>
    <w:rsid w:val="00B0782C"/>
    <w:rsid w:val="00B07956"/>
    <w:rsid w:val="00B07FD9"/>
    <w:rsid w:val="00B10367"/>
    <w:rsid w:val="00B10947"/>
    <w:rsid w:val="00B11A3D"/>
    <w:rsid w:val="00B12CF6"/>
    <w:rsid w:val="00B1311C"/>
    <w:rsid w:val="00B13A84"/>
    <w:rsid w:val="00B15098"/>
    <w:rsid w:val="00B15234"/>
    <w:rsid w:val="00B1542B"/>
    <w:rsid w:val="00B157D7"/>
    <w:rsid w:val="00B158E9"/>
    <w:rsid w:val="00B1623F"/>
    <w:rsid w:val="00B167A4"/>
    <w:rsid w:val="00B16AA1"/>
    <w:rsid w:val="00B16D6A"/>
    <w:rsid w:val="00B170C5"/>
    <w:rsid w:val="00B17C00"/>
    <w:rsid w:val="00B17CFE"/>
    <w:rsid w:val="00B17FEE"/>
    <w:rsid w:val="00B200E1"/>
    <w:rsid w:val="00B20349"/>
    <w:rsid w:val="00B20996"/>
    <w:rsid w:val="00B20D0B"/>
    <w:rsid w:val="00B218DF"/>
    <w:rsid w:val="00B21D51"/>
    <w:rsid w:val="00B22D7B"/>
    <w:rsid w:val="00B23397"/>
    <w:rsid w:val="00B23C31"/>
    <w:rsid w:val="00B23D65"/>
    <w:rsid w:val="00B2412E"/>
    <w:rsid w:val="00B248E5"/>
    <w:rsid w:val="00B24BD7"/>
    <w:rsid w:val="00B25311"/>
    <w:rsid w:val="00B2561C"/>
    <w:rsid w:val="00B2587E"/>
    <w:rsid w:val="00B260FD"/>
    <w:rsid w:val="00B26237"/>
    <w:rsid w:val="00B26387"/>
    <w:rsid w:val="00B263C7"/>
    <w:rsid w:val="00B2656C"/>
    <w:rsid w:val="00B26D87"/>
    <w:rsid w:val="00B27101"/>
    <w:rsid w:val="00B27196"/>
    <w:rsid w:val="00B276A0"/>
    <w:rsid w:val="00B27B24"/>
    <w:rsid w:val="00B27D44"/>
    <w:rsid w:val="00B303AC"/>
    <w:rsid w:val="00B3077E"/>
    <w:rsid w:val="00B3159F"/>
    <w:rsid w:val="00B31615"/>
    <w:rsid w:val="00B316A9"/>
    <w:rsid w:val="00B32288"/>
    <w:rsid w:val="00B327F4"/>
    <w:rsid w:val="00B32ACB"/>
    <w:rsid w:val="00B32F2A"/>
    <w:rsid w:val="00B33004"/>
    <w:rsid w:val="00B3377B"/>
    <w:rsid w:val="00B33815"/>
    <w:rsid w:val="00B339B5"/>
    <w:rsid w:val="00B3435A"/>
    <w:rsid w:val="00B3480E"/>
    <w:rsid w:val="00B34C59"/>
    <w:rsid w:val="00B34C74"/>
    <w:rsid w:val="00B35186"/>
    <w:rsid w:val="00B35BC0"/>
    <w:rsid w:val="00B36596"/>
    <w:rsid w:val="00B36DC7"/>
    <w:rsid w:val="00B36F7E"/>
    <w:rsid w:val="00B37061"/>
    <w:rsid w:val="00B37235"/>
    <w:rsid w:val="00B37389"/>
    <w:rsid w:val="00B37837"/>
    <w:rsid w:val="00B37A8C"/>
    <w:rsid w:val="00B37A8F"/>
    <w:rsid w:val="00B37D37"/>
    <w:rsid w:val="00B404FF"/>
    <w:rsid w:val="00B4070C"/>
    <w:rsid w:val="00B40B1E"/>
    <w:rsid w:val="00B413BA"/>
    <w:rsid w:val="00B42133"/>
    <w:rsid w:val="00B426FD"/>
    <w:rsid w:val="00B42DB7"/>
    <w:rsid w:val="00B43C90"/>
    <w:rsid w:val="00B443E2"/>
    <w:rsid w:val="00B449FD"/>
    <w:rsid w:val="00B45C85"/>
    <w:rsid w:val="00B46792"/>
    <w:rsid w:val="00B46EF7"/>
    <w:rsid w:val="00B47088"/>
    <w:rsid w:val="00B473DB"/>
    <w:rsid w:val="00B501B5"/>
    <w:rsid w:val="00B503D2"/>
    <w:rsid w:val="00B504B6"/>
    <w:rsid w:val="00B51238"/>
    <w:rsid w:val="00B51F8D"/>
    <w:rsid w:val="00B5287D"/>
    <w:rsid w:val="00B52A03"/>
    <w:rsid w:val="00B53209"/>
    <w:rsid w:val="00B538A5"/>
    <w:rsid w:val="00B5399D"/>
    <w:rsid w:val="00B53CD1"/>
    <w:rsid w:val="00B54A67"/>
    <w:rsid w:val="00B54D39"/>
    <w:rsid w:val="00B55AF3"/>
    <w:rsid w:val="00B55F0A"/>
    <w:rsid w:val="00B5656D"/>
    <w:rsid w:val="00B56962"/>
    <w:rsid w:val="00B569EC"/>
    <w:rsid w:val="00B56FC3"/>
    <w:rsid w:val="00B5709A"/>
    <w:rsid w:val="00B60138"/>
    <w:rsid w:val="00B613E1"/>
    <w:rsid w:val="00B6162C"/>
    <w:rsid w:val="00B61B87"/>
    <w:rsid w:val="00B6255F"/>
    <w:rsid w:val="00B62BB3"/>
    <w:rsid w:val="00B63388"/>
    <w:rsid w:val="00B63C14"/>
    <w:rsid w:val="00B6404C"/>
    <w:rsid w:val="00B64262"/>
    <w:rsid w:val="00B642F6"/>
    <w:rsid w:val="00B6494F"/>
    <w:rsid w:val="00B64ECD"/>
    <w:rsid w:val="00B64F79"/>
    <w:rsid w:val="00B6575E"/>
    <w:rsid w:val="00B659F7"/>
    <w:rsid w:val="00B65A0A"/>
    <w:rsid w:val="00B65DDD"/>
    <w:rsid w:val="00B65F1E"/>
    <w:rsid w:val="00B66296"/>
    <w:rsid w:val="00B66CE6"/>
    <w:rsid w:val="00B67281"/>
    <w:rsid w:val="00B67CFF"/>
    <w:rsid w:val="00B701B0"/>
    <w:rsid w:val="00B70765"/>
    <w:rsid w:val="00B7077A"/>
    <w:rsid w:val="00B70E3E"/>
    <w:rsid w:val="00B710C6"/>
    <w:rsid w:val="00B71428"/>
    <w:rsid w:val="00B71515"/>
    <w:rsid w:val="00B717FD"/>
    <w:rsid w:val="00B72547"/>
    <w:rsid w:val="00B727D1"/>
    <w:rsid w:val="00B72D51"/>
    <w:rsid w:val="00B72E1F"/>
    <w:rsid w:val="00B73227"/>
    <w:rsid w:val="00B73387"/>
    <w:rsid w:val="00B735B1"/>
    <w:rsid w:val="00B74544"/>
    <w:rsid w:val="00B7485D"/>
    <w:rsid w:val="00B74AB9"/>
    <w:rsid w:val="00B75480"/>
    <w:rsid w:val="00B7583F"/>
    <w:rsid w:val="00B7703E"/>
    <w:rsid w:val="00B77489"/>
    <w:rsid w:val="00B8090C"/>
    <w:rsid w:val="00B80F42"/>
    <w:rsid w:val="00B81120"/>
    <w:rsid w:val="00B815B3"/>
    <w:rsid w:val="00B81A92"/>
    <w:rsid w:val="00B81B05"/>
    <w:rsid w:val="00B824F9"/>
    <w:rsid w:val="00B82AE5"/>
    <w:rsid w:val="00B82FFA"/>
    <w:rsid w:val="00B8329E"/>
    <w:rsid w:val="00B835F9"/>
    <w:rsid w:val="00B8402F"/>
    <w:rsid w:val="00B849DC"/>
    <w:rsid w:val="00B849FE"/>
    <w:rsid w:val="00B84F01"/>
    <w:rsid w:val="00B86DA6"/>
    <w:rsid w:val="00B86DF5"/>
    <w:rsid w:val="00B871BE"/>
    <w:rsid w:val="00B87235"/>
    <w:rsid w:val="00B87269"/>
    <w:rsid w:val="00B876CD"/>
    <w:rsid w:val="00B900D1"/>
    <w:rsid w:val="00B905E0"/>
    <w:rsid w:val="00B9080E"/>
    <w:rsid w:val="00B90AFC"/>
    <w:rsid w:val="00B90B37"/>
    <w:rsid w:val="00B90BC3"/>
    <w:rsid w:val="00B9253E"/>
    <w:rsid w:val="00B92E2B"/>
    <w:rsid w:val="00B92FA7"/>
    <w:rsid w:val="00B933AD"/>
    <w:rsid w:val="00B93516"/>
    <w:rsid w:val="00B93793"/>
    <w:rsid w:val="00B93EB3"/>
    <w:rsid w:val="00B94CDF"/>
    <w:rsid w:val="00B94E1F"/>
    <w:rsid w:val="00B950C7"/>
    <w:rsid w:val="00B956AB"/>
    <w:rsid w:val="00B95F3E"/>
    <w:rsid w:val="00B9649F"/>
    <w:rsid w:val="00B96762"/>
    <w:rsid w:val="00B96D43"/>
    <w:rsid w:val="00B96D62"/>
    <w:rsid w:val="00B96F60"/>
    <w:rsid w:val="00B97428"/>
    <w:rsid w:val="00B97873"/>
    <w:rsid w:val="00BA1941"/>
    <w:rsid w:val="00BA1C2F"/>
    <w:rsid w:val="00BA29C7"/>
    <w:rsid w:val="00BA30E3"/>
    <w:rsid w:val="00BA3139"/>
    <w:rsid w:val="00BA3160"/>
    <w:rsid w:val="00BA3578"/>
    <w:rsid w:val="00BA3E49"/>
    <w:rsid w:val="00BA3EB1"/>
    <w:rsid w:val="00BA4371"/>
    <w:rsid w:val="00BA4528"/>
    <w:rsid w:val="00BA5102"/>
    <w:rsid w:val="00BA54C8"/>
    <w:rsid w:val="00BA5807"/>
    <w:rsid w:val="00BA5A15"/>
    <w:rsid w:val="00BA5A6D"/>
    <w:rsid w:val="00BA5C5D"/>
    <w:rsid w:val="00BA5ED9"/>
    <w:rsid w:val="00BA609C"/>
    <w:rsid w:val="00BA621D"/>
    <w:rsid w:val="00BA6C81"/>
    <w:rsid w:val="00BA6CBA"/>
    <w:rsid w:val="00BA76C5"/>
    <w:rsid w:val="00BA7C9D"/>
    <w:rsid w:val="00BA7F8E"/>
    <w:rsid w:val="00BB0857"/>
    <w:rsid w:val="00BB1210"/>
    <w:rsid w:val="00BB1262"/>
    <w:rsid w:val="00BB13B6"/>
    <w:rsid w:val="00BB156E"/>
    <w:rsid w:val="00BB17E8"/>
    <w:rsid w:val="00BB1CB1"/>
    <w:rsid w:val="00BB23F3"/>
    <w:rsid w:val="00BB245A"/>
    <w:rsid w:val="00BB2500"/>
    <w:rsid w:val="00BB2A4D"/>
    <w:rsid w:val="00BB2DAA"/>
    <w:rsid w:val="00BB2FB7"/>
    <w:rsid w:val="00BB2FF8"/>
    <w:rsid w:val="00BB34A6"/>
    <w:rsid w:val="00BB3852"/>
    <w:rsid w:val="00BB3F3B"/>
    <w:rsid w:val="00BB42B4"/>
    <w:rsid w:val="00BB4733"/>
    <w:rsid w:val="00BB4785"/>
    <w:rsid w:val="00BB4F6D"/>
    <w:rsid w:val="00BB50EB"/>
    <w:rsid w:val="00BB550D"/>
    <w:rsid w:val="00BB593C"/>
    <w:rsid w:val="00BB608A"/>
    <w:rsid w:val="00BB6549"/>
    <w:rsid w:val="00BB6657"/>
    <w:rsid w:val="00BB6F70"/>
    <w:rsid w:val="00BB7461"/>
    <w:rsid w:val="00BB746A"/>
    <w:rsid w:val="00BB75E8"/>
    <w:rsid w:val="00BC04F0"/>
    <w:rsid w:val="00BC0BE0"/>
    <w:rsid w:val="00BC1AD9"/>
    <w:rsid w:val="00BC236E"/>
    <w:rsid w:val="00BC27B0"/>
    <w:rsid w:val="00BC336F"/>
    <w:rsid w:val="00BC4516"/>
    <w:rsid w:val="00BC4C9E"/>
    <w:rsid w:val="00BC534E"/>
    <w:rsid w:val="00BC56C9"/>
    <w:rsid w:val="00BC5FB6"/>
    <w:rsid w:val="00BC60B8"/>
    <w:rsid w:val="00BC6BA4"/>
    <w:rsid w:val="00BC71B4"/>
    <w:rsid w:val="00BC7F73"/>
    <w:rsid w:val="00BD0744"/>
    <w:rsid w:val="00BD078C"/>
    <w:rsid w:val="00BD08BD"/>
    <w:rsid w:val="00BD0C06"/>
    <w:rsid w:val="00BD0DAF"/>
    <w:rsid w:val="00BD0E24"/>
    <w:rsid w:val="00BD1814"/>
    <w:rsid w:val="00BD1B5A"/>
    <w:rsid w:val="00BD1F03"/>
    <w:rsid w:val="00BD304B"/>
    <w:rsid w:val="00BD38EF"/>
    <w:rsid w:val="00BD3EFD"/>
    <w:rsid w:val="00BD3F69"/>
    <w:rsid w:val="00BD435C"/>
    <w:rsid w:val="00BD532A"/>
    <w:rsid w:val="00BD586A"/>
    <w:rsid w:val="00BD730E"/>
    <w:rsid w:val="00BD7552"/>
    <w:rsid w:val="00BE0DA6"/>
    <w:rsid w:val="00BE1A1F"/>
    <w:rsid w:val="00BE210A"/>
    <w:rsid w:val="00BE22B2"/>
    <w:rsid w:val="00BE24BB"/>
    <w:rsid w:val="00BE269A"/>
    <w:rsid w:val="00BE290A"/>
    <w:rsid w:val="00BE2A57"/>
    <w:rsid w:val="00BE30FA"/>
    <w:rsid w:val="00BE335E"/>
    <w:rsid w:val="00BE35DE"/>
    <w:rsid w:val="00BE362B"/>
    <w:rsid w:val="00BE485E"/>
    <w:rsid w:val="00BE49FF"/>
    <w:rsid w:val="00BE53FD"/>
    <w:rsid w:val="00BE5C6A"/>
    <w:rsid w:val="00BE5C71"/>
    <w:rsid w:val="00BE694D"/>
    <w:rsid w:val="00BE6C93"/>
    <w:rsid w:val="00BE70B8"/>
    <w:rsid w:val="00BE7790"/>
    <w:rsid w:val="00BF08BE"/>
    <w:rsid w:val="00BF0D41"/>
    <w:rsid w:val="00BF19DF"/>
    <w:rsid w:val="00BF2477"/>
    <w:rsid w:val="00BF25D9"/>
    <w:rsid w:val="00BF2EFB"/>
    <w:rsid w:val="00BF31BA"/>
    <w:rsid w:val="00BF3470"/>
    <w:rsid w:val="00BF4529"/>
    <w:rsid w:val="00BF47DA"/>
    <w:rsid w:val="00BF4D42"/>
    <w:rsid w:val="00BF551D"/>
    <w:rsid w:val="00BF5C75"/>
    <w:rsid w:val="00BF60E8"/>
    <w:rsid w:val="00BF61B4"/>
    <w:rsid w:val="00BF62A2"/>
    <w:rsid w:val="00BF6AD2"/>
    <w:rsid w:val="00BF7531"/>
    <w:rsid w:val="00BF77B9"/>
    <w:rsid w:val="00BF7AE9"/>
    <w:rsid w:val="00C00769"/>
    <w:rsid w:val="00C01249"/>
    <w:rsid w:val="00C01730"/>
    <w:rsid w:val="00C025B0"/>
    <w:rsid w:val="00C02AF7"/>
    <w:rsid w:val="00C031C4"/>
    <w:rsid w:val="00C04466"/>
    <w:rsid w:val="00C04AAD"/>
    <w:rsid w:val="00C04C98"/>
    <w:rsid w:val="00C05EF1"/>
    <w:rsid w:val="00C06FEA"/>
    <w:rsid w:val="00C07A40"/>
    <w:rsid w:val="00C07BAD"/>
    <w:rsid w:val="00C07BCF"/>
    <w:rsid w:val="00C10427"/>
    <w:rsid w:val="00C110AE"/>
    <w:rsid w:val="00C11D18"/>
    <w:rsid w:val="00C11F3B"/>
    <w:rsid w:val="00C12268"/>
    <w:rsid w:val="00C12C6C"/>
    <w:rsid w:val="00C1355C"/>
    <w:rsid w:val="00C136AB"/>
    <w:rsid w:val="00C136F8"/>
    <w:rsid w:val="00C13739"/>
    <w:rsid w:val="00C13823"/>
    <w:rsid w:val="00C1384D"/>
    <w:rsid w:val="00C13F73"/>
    <w:rsid w:val="00C14655"/>
    <w:rsid w:val="00C146F7"/>
    <w:rsid w:val="00C1494C"/>
    <w:rsid w:val="00C14C1A"/>
    <w:rsid w:val="00C15718"/>
    <w:rsid w:val="00C159B1"/>
    <w:rsid w:val="00C16B6A"/>
    <w:rsid w:val="00C16DF2"/>
    <w:rsid w:val="00C17415"/>
    <w:rsid w:val="00C17573"/>
    <w:rsid w:val="00C17F24"/>
    <w:rsid w:val="00C200AA"/>
    <w:rsid w:val="00C2079E"/>
    <w:rsid w:val="00C209B8"/>
    <w:rsid w:val="00C20EDE"/>
    <w:rsid w:val="00C20FE8"/>
    <w:rsid w:val="00C214EE"/>
    <w:rsid w:val="00C21BE9"/>
    <w:rsid w:val="00C21FA4"/>
    <w:rsid w:val="00C22056"/>
    <w:rsid w:val="00C2227A"/>
    <w:rsid w:val="00C22ABF"/>
    <w:rsid w:val="00C2347C"/>
    <w:rsid w:val="00C23652"/>
    <w:rsid w:val="00C237F6"/>
    <w:rsid w:val="00C23D4A"/>
    <w:rsid w:val="00C23ED9"/>
    <w:rsid w:val="00C242A3"/>
    <w:rsid w:val="00C24395"/>
    <w:rsid w:val="00C255E4"/>
    <w:rsid w:val="00C25B18"/>
    <w:rsid w:val="00C2613E"/>
    <w:rsid w:val="00C26517"/>
    <w:rsid w:val="00C26849"/>
    <w:rsid w:val="00C26BAF"/>
    <w:rsid w:val="00C26C27"/>
    <w:rsid w:val="00C300AE"/>
    <w:rsid w:val="00C303B4"/>
    <w:rsid w:val="00C307B4"/>
    <w:rsid w:val="00C3188A"/>
    <w:rsid w:val="00C31B4E"/>
    <w:rsid w:val="00C325AF"/>
    <w:rsid w:val="00C3326C"/>
    <w:rsid w:val="00C33762"/>
    <w:rsid w:val="00C33CA1"/>
    <w:rsid w:val="00C33F27"/>
    <w:rsid w:val="00C34D6A"/>
    <w:rsid w:val="00C35F88"/>
    <w:rsid w:val="00C36CD6"/>
    <w:rsid w:val="00C36E53"/>
    <w:rsid w:val="00C37475"/>
    <w:rsid w:val="00C37512"/>
    <w:rsid w:val="00C37CE1"/>
    <w:rsid w:val="00C37ED3"/>
    <w:rsid w:val="00C40CCC"/>
    <w:rsid w:val="00C40D0E"/>
    <w:rsid w:val="00C417C8"/>
    <w:rsid w:val="00C4229A"/>
    <w:rsid w:val="00C42741"/>
    <w:rsid w:val="00C42D67"/>
    <w:rsid w:val="00C43AC3"/>
    <w:rsid w:val="00C43D30"/>
    <w:rsid w:val="00C43D8B"/>
    <w:rsid w:val="00C44245"/>
    <w:rsid w:val="00C44499"/>
    <w:rsid w:val="00C444BE"/>
    <w:rsid w:val="00C4450D"/>
    <w:rsid w:val="00C45270"/>
    <w:rsid w:val="00C4576A"/>
    <w:rsid w:val="00C45C25"/>
    <w:rsid w:val="00C45C61"/>
    <w:rsid w:val="00C45D9F"/>
    <w:rsid w:val="00C46158"/>
    <w:rsid w:val="00C462AC"/>
    <w:rsid w:val="00C46A08"/>
    <w:rsid w:val="00C46D7C"/>
    <w:rsid w:val="00C479B7"/>
    <w:rsid w:val="00C47AD1"/>
    <w:rsid w:val="00C5009E"/>
    <w:rsid w:val="00C50447"/>
    <w:rsid w:val="00C50F64"/>
    <w:rsid w:val="00C51173"/>
    <w:rsid w:val="00C515A9"/>
    <w:rsid w:val="00C51EE9"/>
    <w:rsid w:val="00C520DF"/>
    <w:rsid w:val="00C52C9F"/>
    <w:rsid w:val="00C5331E"/>
    <w:rsid w:val="00C536F3"/>
    <w:rsid w:val="00C551E4"/>
    <w:rsid w:val="00C55696"/>
    <w:rsid w:val="00C5682A"/>
    <w:rsid w:val="00C609CC"/>
    <w:rsid w:val="00C60F0F"/>
    <w:rsid w:val="00C617C1"/>
    <w:rsid w:val="00C61FCD"/>
    <w:rsid w:val="00C62B06"/>
    <w:rsid w:val="00C62BFF"/>
    <w:rsid w:val="00C62C88"/>
    <w:rsid w:val="00C62F2A"/>
    <w:rsid w:val="00C633A8"/>
    <w:rsid w:val="00C634DF"/>
    <w:rsid w:val="00C63833"/>
    <w:rsid w:val="00C6428C"/>
    <w:rsid w:val="00C6449B"/>
    <w:rsid w:val="00C64833"/>
    <w:rsid w:val="00C64CCE"/>
    <w:rsid w:val="00C64E9C"/>
    <w:rsid w:val="00C65247"/>
    <w:rsid w:val="00C656BA"/>
    <w:rsid w:val="00C66200"/>
    <w:rsid w:val="00C6629B"/>
    <w:rsid w:val="00C664AE"/>
    <w:rsid w:val="00C6653F"/>
    <w:rsid w:val="00C665F6"/>
    <w:rsid w:val="00C66FC5"/>
    <w:rsid w:val="00C67387"/>
    <w:rsid w:val="00C675F6"/>
    <w:rsid w:val="00C67F83"/>
    <w:rsid w:val="00C7012A"/>
    <w:rsid w:val="00C7084B"/>
    <w:rsid w:val="00C713C9"/>
    <w:rsid w:val="00C7194F"/>
    <w:rsid w:val="00C71D10"/>
    <w:rsid w:val="00C725BE"/>
    <w:rsid w:val="00C726A4"/>
    <w:rsid w:val="00C72752"/>
    <w:rsid w:val="00C73775"/>
    <w:rsid w:val="00C73F98"/>
    <w:rsid w:val="00C747D0"/>
    <w:rsid w:val="00C747FA"/>
    <w:rsid w:val="00C74810"/>
    <w:rsid w:val="00C74A76"/>
    <w:rsid w:val="00C74F6B"/>
    <w:rsid w:val="00C76002"/>
    <w:rsid w:val="00C77459"/>
    <w:rsid w:val="00C776BE"/>
    <w:rsid w:val="00C77880"/>
    <w:rsid w:val="00C80202"/>
    <w:rsid w:val="00C80569"/>
    <w:rsid w:val="00C80AFA"/>
    <w:rsid w:val="00C80F3B"/>
    <w:rsid w:val="00C81347"/>
    <w:rsid w:val="00C818E7"/>
    <w:rsid w:val="00C823A8"/>
    <w:rsid w:val="00C8280D"/>
    <w:rsid w:val="00C83062"/>
    <w:rsid w:val="00C838FE"/>
    <w:rsid w:val="00C83989"/>
    <w:rsid w:val="00C84D45"/>
    <w:rsid w:val="00C85484"/>
    <w:rsid w:val="00C85900"/>
    <w:rsid w:val="00C85FCF"/>
    <w:rsid w:val="00C8694F"/>
    <w:rsid w:val="00C87F70"/>
    <w:rsid w:val="00C901FB"/>
    <w:rsid w:val="00C90DBA"/>
    <w:rsid w:val="00C90DCE"/>
    <w:rsid w:val="00C9112B"/>
    <w:rsid w:val="00C9150A"/>
    <w:rsid w:val="00C9152C"/>
    <w:rsid w:val="00C91530"/>
    <w:rsid w:val="00C916D7"/>
    <w:rsid w:val="00C91E1B"/>
    <w:rsid w:val="00C91FAF"/>
    <w:rsid w:val="00C91FCE"/>
    <w:rsid w:val="00C9213B"/>
    <w:rsid w:val="00C92298"/>
    <w:rsid w:val="00C92385"/>
    <w:rsid w:val="00C92395"/>
    <w:rsid w:val="00C92766"/>
    <w:rsid w:val="00C92EF4"/>
    <w:rsid w:val="00C93067"/>
    <w:rsid w:val="00C933C4"/>
    <w:rsid w:val="00C935E3"/>
    <w:rsid w:val="00C93625"/>
    <w:rsid w:val="00C94225"/>
    <w:rsid w:val="00C9454A"/>
    <w:rsid w:val="00C950AC"/>
    <w:rsid w:val="00C95B4B"/>
    <w:rsid w:val="00C9613A"/>
    <w:rsid w:val="00C96158"/>
    <w:rsid w:val="00C9691C"/>
    <w:rsid w:val="00C96CCD"/>
    <w:rsid w:val="00C97019"/>
    <w:rsid w:val="00C971CE"/>
    <w:rsid w:val="00C972E9"/>
    <w:rsid w:val="00C9749C"/>
    <w:rsid w:val="00C97804"/>
    <w:rsid w:val="00C97A3A"/>
    <w:rsid w:val="00C97C8A"/>
    <w:rsid w:val="00C97F7A"/>
    <w:rsid w:val="00CA0A30"/>
    <w:rsid w:val="00CA0FF0"/>
    <w:rsid w:val="00CA1387"/>
    <w:rsid w:val="00CA1794"/>
    <w:rsid w:val="00CA28E4"/>
    <w:rsid w:val="00CA2BA1"/>
    <w:rsid w:val="00CA35F1"/>
    <w:rsid w:val="00CA46C6"/>
    <w:rsid w:val="00CA4998"/>
    <w:rsid w:val="00CA4F09"/>
    <w:rsid w:val="00CA5DE6"/>
    <w:rsid w:val="00CA6329"/>
    <w:rsid w:val="00CA6B69"/>
    <w:rsid w:val="00CA6E0C"/>
    <w:rsid w:val="00CA6E45"/>
    <w:rsid w:val="00CA712B"/>
    <w:rsid w:val="00CA7217"/>
    <w:rsid w:val="00CA72F1"/>
    <w:rsid w:val="00CB1878"/>
    <w:rsid w:val="00CB1957"/>
    <w:rsid w:val="00CB1A14"/>
    <w:rsid w:val="00CB1C7E"/>
    <w:rsid w:val="00CB1CF0"/>
    <w:rsid w:val="00CB2493"/>
    <w:rsid w:val="00CB2DF9"/>
    <w:rsid w:val="00CB3185"/>
    <w:rsid w:val="00CB36AA"/>
    <w:rsid w:val="00CB3712"/>
    <w:rsid w:val="00CB3720"/>
    <w:rsid w:val="00CB39C9"/>
    <w:rsid w:val="00CB3A7B"/>
    <w:rsid w:val="00CB4490"/>
    <w:rsid w:val="00CB4712"/>
    <w:rsid w:val="00CB4AF1"/>
    <w:rsid w:val="00CB5857"/>
    <w:rsid w:val="00CB5A59"/>
    <w:rsid w:val="00CC0B6F"/>
    <w:rsid w:val="00CC0D96"/>
    <w:rsid w:val="00CC0F74"/>
    <w:rsid w:val="00CC10D1"/>
    <w:rsid w:val="00CC2003"/>
    <w:rsid w:val="00CC3135"/>
    <w:rsid w:val="00CC34DC"/>
    <w:rsid w:val="00CC3741"/>
    <w:rsid w:val="00CC376D"/>
    <w:rsid w:val="00CC423B"/>
    <w:rsid w:val="00CC544A"/>
    <w:rsid w:val="00CC54DC"/>
    <w:rsid w:val="00CC5A42"/>
    <w:rsid w:val="00CC64E8"/>
    <w:rsid w:val="00CC6CB2"/>
    <w:rsid w:val="00CC6E32"/>
    <w:rsid w:val="00CC75EF"/>
    <w:rsid w:val="00CC7BE3"/>
    <w:rsid w:val="00CD01D9"/>
    <w:rsid w:val="00CD0B0D"/>
    <w:rsid w:val="00CD1111"/>
    <w:rsid w:val="00CD221E"/>
    <w:rsid w:val="00CD2E41"/>
    <w:rsid w:val="00CD32A2"/>
    <w:rsid w:val="00CD388F"/>
    <w:rsid w:val="00CD468B"/>
    <w:rsid w:val="00CD48B0"/>
    <w:rsid w:val="00CD4BE1"/>
    <w:rsid w:val="00CD4CBC"/>
    <w:rsid w:val="00CD4E15"/>
    <w:rsid w:val="00CD5821"/>
    <w:rsid w:val="00CD5FC0"/>
    <w:rsid w:val="00CD5FFA"/>
    <w:rsid w:val="00CD61D4"/>
    <w:rsid w:val="00CE077E"/>
    <w:rsid w:val="00CE08D6"/>
    <w:rsid w:val="00CE0A1A"/>
    <w:rsid w:val="00CE0A2D"/>
    <w:rsid w:val="00CE1097"/>
    <w:rsid w:val="00CE1272"/>
    <w:rsid w:val="00CE13C8"/>
    <w:rsid w:val="00CE16A1"/>
    <w:rsid w:val="00CE174A"/>
    <w:rsid w:val="00CE17AF"/>
    <w:rsid w:val="00CE17C0"/>
    <w:rsid w:val="00CE18E0"/>
    <w:rsid w:val="00CE1FDD"/>
    <w:rsid w:val="00CE27A5"/>
    <w:rsid w:val="00CE29D5"/>
    <w:rsid w:val="00CE2B2B"/>
    <w:rsid w:val="00CE2D4E"/>
    <w:rsid w:val="00CE3071"/>
    <w:rsid w:val="00CE30F2"/>
    <w:rsid w:val="00CE31F2"/>
    <w:rsid w:val="00CE3275"/>
    <w:rsid w:val="00CE37B0"/>
    <w:rsid w:val="00CE37B7"/>
    <w:rsid w:val="00CE3917"/>
    <w:rsid w:val="00CE3A0F"/>
    <w:rsid w:val="00CE515B"/>
    <w:rsid w:val="00CE5708"/>
    <w:rsid w:val="00CE5C2F"/>
    <w:rsid w:val="00CE5F58"/>
    <w:rsid w:val="00CE62AB"/>
    <w:rsid w:val="00CE6D6C"/>
    <w:rsid w:val="00CE77B6"/>
    <w:rsid w:val="00CF0138"/>
    <w:rsid w:val="00CF0309"/>
    <w:rsid w:val="00CF05A4"/>
    <w:rsid w:val="00CF0934"/>
    <w:rsid w:val="00CF0DB0"/>
    <w:rsid w:val="00CF154C"/>
    <w:rsid w:val="00CF15D5"/>
    <w:rsid w:val="00CF16AB"/>
    <w:rsid w:val="00CF1A1E"/>
    <w:rsid w:val="00CF2A57"/>
    <w:rsid w:val="00CF2C2C"/>
    <w:rsid w:val="00CF2FE8"/>
    <w:rsid w:val="00CF32AD"/>
    <w:rsid w:val="00CF3452"/>
    <w:rsid w:val="00CF3D1A"/>
    <w:rsid w:val="00CF447F"/>
    <w:rsid w:val="00CF4D3D"/>
    <w:rsid w:val="00CF4F7A"/>
    <w:rsid w:val="00CF53B3"/>
    <w:rsid w:val="00CF582A"/>
    <w:rsid w:val="00CF64F7"/>
    <w:rsid w:val="00CF681E"/>
    <w:rsid w:val="00CF7721"/>
    <w:rsid w:val="00CF7901"/>
    <w:rsid w:val="00CF7EDB"/>
    <w:rsid w:val="00D009E1"/>
    <w:rsid w:val="00D00FE4"/>
    <w:rsid w:val="00D024E1"/>
    <w:rsid w:val="00D0265D"/>
    <w:rsid w:val="00D027B4"/>
    <w:rsid w:val="00D02C91"/>
    <w:rsid w:val="00D03198"/>
    <w:rsid w:val="00D034FA"/>
    <w:rsid w:val="00D03F6A"/>
    <w:rsid w:val="00D0449C"/>
    <w:rsid w:val="00D04821"/>
    <w:rsid w:val="00D057F0"/>
    <w:rsid w:val="00D0595B"/>
    <w:rsid w:val="00D05969"/>
    <w:rsid w:val="00D05BF8"/>
    <w:rsid w:val="00D05E75"/>
    <w:rsid w:val="00D0751E"/>
    <w:rsid w:val="00D0779C"/>
    <w:rsid w:val="00D0792C"/>
    <w:rsid w:val="00D07BB6"/>
    <w:rsid w:val="00D10038"/>
    <w:rsid w:val="00D10595"/>
    <w:rsid w:val="00D1063E"/>
    <w:rsid w:val="00D10FC2"/>
    <w:rsid w:val="00D11028"/>
    <w:rsid w:val="00D11AA6"/>
    <w:rsid w:val="00D1200A"/>
    <w:rsid w:val="00D120E7"/>
    <w:rsid w:val="00D1277E"/>
    <w:rsid w:val="00D1299A"/>
    <w:rsid w:val="00D138D1"/>
    <w:rsid w:val="00D13DF0"/>
    <w:rsid w:val="00D13EBC"/>
    <w:rsid w:val="00D13F81"/>
    <w:rsid w:val="00D14306"/>
    <w:rsid w:val="00D14FD3"/>
    <w:rsid w:val="00D1506F"/>
    <w:rsid w:val="00D15149"/>
    <w:rsid w:val="00D15FBD"/>
    <w:rsid w:val="00D16A18"/>
    <w:rsid w:val="00D16A65"/>
    <w:rsid w:val="00D20691"/>
    <w:rsid w:val="00D2074A"/>
    <w:rsid w:val="00D20A42"/>
    <w:rsid w:val="00D20FCA"/>
    <w:rsid w:val="00D21DE6"/>
    <w:rsid w:val="00D22383"/>
    <w:rsid w:val="00D22682"/>
    <w:rsid w:val="00D226AF"/>
    <w:rsid w:val="00D24751"/>
    <w:rsid w:val="00D25117"/>
    <w:rsid w:val="00D2553C"/>
    <w:rsid w:val="00D255A1"/>
    <w:rsid w:val="00D25C65"/>
    <w:rsid w:val="00D262E6"/>
    <w:rsid w:val="00D2633A"/>
    <w:rsid w:val="00D265AF"/>
    <w:rsid w:val="00D26F44"/>
    <w:rsid w:val="00D2719E"/>
    <w:rsid w:val="00D272E4"/>
    <w:rsid w:val="00D3037F"/>
    <w:rsid w:val="00D30DAB"/>
    <w:rsid w:val="00D31034"/>
    <w:rsid w:val="00D31273"/>
    <w:rsid w:val="00D317A4"/>
    <w:rsid w:val="00D32D50"/>
    <w:rsid w:val="00D33BCE"/>
    <w:rsid w:val="00D33CD4"/>
    <w:rsid w:val="00D33EE2"/>
    <w:rsid w:val="00D341CA"/>
    <w:rsid w:val="00D347D4"/>
    <w:rsid w:val="00D34E05"/>
    <w:rsid w:val="00D3594C"/>
    <w:rsid w:val="00D35BF5"/>
    <w:rsid w:val="00D36280"/>
    <w:rsid w:val="00D36A6D"/>
    <w:rsid w:val="00D36A70"/>
    <w:rsid w:val="00D37023"/>
    <w:rsid w:val="00D37FF0"/>
    <w:rsid w:val="00D40549"/>
    <w:rsid w:val="00D406B1"/>
    <w:rsid w:val="00D4201A"/>
    <w:rsid w:val="00D424A0"/>
    <w:rsid w:val="00D42596"/>
    <w:rsid w:val="00D42C19"/>
    <w:rsid w:val="00D43AA8"/>
    <w:rsid w:val="00D43F41"/>
    <w:rsid w:val="00D43FB3"/>
    <w:rsid w:val="00D4414F"/>
    <w:rsid w:val="00D441AE"/>
    <w:rsid w:val="00D44AD3"/>
    <w:rsid w:val="00D44FD4"/>
    <w:rsid w:val="00D4505C"/>
    <w:rsid w:val="00D45223"/>
    <w:rsid w:val="00D454E0"/>
    <w:rsid w:val="00D4572B"/>
    <w:rsid w:val="00D45A44"/>
    <w:rsid w:val="00D45F79"/>
    <w:rsid w:val="00D46E4B"/>
    <w:rsid w:val="00D47579"/>
    <w:rsid w:val="00D5010E"/>
    <w:rsid w:val="00D50121"/>
    <w:rsid w:val="00D50F3A"/>
    <w:rsid w:val="00D513D2"/>
    <w:rsid w:val="00D51D44"/>
    <w:rsid w:val="00D52441"/>
    <w:rsid w:val="00D5254F"/>
    <w:rsid w:val="00D52D46"/>
    <w:rsid w:val="00D52DFA"/>
    <w:rsid w:val="00D53018"/>
    <w:rsid w:val="00D5358E"/>
    <w:rsid w:val="00D53980"/>
    <w:rsid w:val="00D53C19"/>
    <w:rsid w:val="00D5447F"/>
    <w:rsid w:val="00D54725"/>
    <w:rsid w:val="00D54D9E"/>
    <w:rsid w:val="00D553D1"/>
    <w:rsid w:val="00D56112"/>
    <w:rsid w:val="00D56209"/>
    <w:rsid w:val="00D56AB2"/>
    <w:rsid w:val="00D56F15"/>
    <w:rsid w:val="00D5700A"/>
    <w:rsid w:val="00D57139"/>
    <w:rsid w:val="00D57433"/>
    <w:rsid w:val="00D57910"/>
    <w:rsid w:val="00D602EF"/>
    <w:rsid w:val="00D60852"/>
    <w:rsid w:val="00D61169"/>
    <w:rsid w:val="00D612E1"/>
    <w:rsid w:val="00D61450"/>
    <w:rsid w:val="00D61574"/>
    <w:rsid w:val="00D62821"/>
    <w:rsid w:val="00D62D88"/>
    <w:rsid w:val="00D62EDC"/>
    <w:rsid w:val="00D62F3C"/>
    <w:rsid w:val="00D63075"/>
    <w:rsid w:val="00D632BC"/>
    <w:rsid w:val="00D63A03"/>
    <w:rsid w:val="00D6433B"/>
    <w:rsid w:val="00D6468B"/>
    <w:rsid w:val="00D64831"/>
    <w:rsid w:val="00D64E79"/>
    <w:rsid w:val="00D6519E"/>
    <w:rsid w:val="00D658F4"/>
    <w:rsid w:val="00D65B48"/>
    <w:rsid w:val="00D6736B"/>
    <w:rsid w:val="00D673D2"/>
    <w:rsid w:val="00D67434"/>
    <w:rsid w:val="00D67FF4"/>
    <w:rsid w:val="00D7028B"/>
    <w:rsid w:val="00D705F4"/>
    <w:rsid w:val="00D70843"/>
    <w:rsid w:val="00D71186"/>
    <w:rsid w:val="00D719DB"/>
    <w:rsid w:val="00D71A43"/>
    <w:rsid w:val="00D71BB6"/>
    <w:rsid w:val="00D71FD6"/>
    <w:rsid w:val="00D72180"/>
    <w:rsid w:val="00D72CD0"/>
    <w:rsid w:val="00D72D7B"/>
    <w:rsid w:val="00D73B11"/>
    <w:rsid w:val="00D73C3A"/>
    <w:rsid w:val="00D73D42"/>
    <w:rsid w:val="00D73E36"/>
    <w:rsid w:val="00D7489B"/>
    <w:rsid w:val="00D74EC5"/>
    <w:rsid w:val="00D7502E"/>
    <w:rsid w:val="00D75CAB"/>
    <w:rsid w:val="00D766C2"/>
    <w:rsid w:val="00D76C3A"/>
    <w:rsid w:val="00D76F82"/>
    <w:rsid w:val="00D80606"/>
    <w:rsid w:val="00D80D9A"/>
    <w:rsid w:val="00D80E7D"/>
    <w:rsid w:val="00D81807"/>
    <w:rsid w:val="00D81A4C"/>
    <w:rsid w:val="00D8229A"/>
    <w:rsid w:val="00D824FA"/>
    <w:rsid w:val="00D8286E"/>
    <w:rsid w:val="00D830A2"/>
    <w:rsid w:val="00D831B3"/>
    <w:rsid w:val="00D837BC"/>
    <w:rsid w:val="00D83B8E"/>
    <w:rsid w:val="00D83CC4"/>
    <w:rsid w:val="00D83F01"/>
    <w:rsid w:val="00D8465F"/>
    <w:rsid w:val="00D84BA7"/>
    <w:rsid w:val="00D84C09"/>
    <w:rsid w:val="00D86226"/>
    <w:rsid w:val="00D8651E"/>
    <w:rsid w:val="00D86B4B"/>
    <w:rsid w:val="00D86B8C"/>
    <w:rsid w:val="00D86CE4"/>
    <w:rsid w:val="00D86D5D"/>
    <w:rsid w:val="00D870A5"/>
    <w:rsid w:val="00D87750"/>
    <w:rsid w:val="00D87889"/>
    <w:rsid w:val="00D87BB1"/>
    <w:rsid w:val="00D87FFC"/>
    <w:rsid w:val="00D9043A"/>
    <w:rsid w:val="00D90897"/>
    <w:rsid w:val="00D90A26"/>
    <w:rsid w:val="00D90CF4"/>
    <w:rsid w:val="00D92023"/>
    <w:rsid w:val="00D921DC"/>
    <w:rsid w:val="00D92AAE"/>
    <w:rsid w:val="00D92D74"/>
    <w:rsid w:val="00D92F4F"/>
    <w:rsid w:val="00D936DC"/>
    <w:rsid w:val="00D93765"/>
    <w:rsid w:val="00D9450D"/>
    <w:rsid w:val="00D94708"/>
    <w:rsid w:val="00D949BE"/>
    <w:rsid w:val="00D94B1D"/>
    <w:rsid w:val="00D95455"/>
    <w:rsid w:val="00D956E1"/>
    <w:rsid w:val="00D95A59"/>
    <w:rsid w:val="00D95ECF"/>
    <w:rsid w:val="00D96361"/>
    <w:rsid w:val="00D965F8"/>
    <w:rsid w:val="00D96DF2"/>
    <w:rsid w:val="00D976A0"/>
    <w:rsid w:val="00D97FFD"/>
    <w:rsid w:val="00DA03C1"/>
    <w:rsid w:val="00DA0518"/>
    <w:rsid w:val="00DA0B19"/>
    <w:rsid w:val="00DA0C9E"/>
    <w:rsid w:val="00DA0D3E"/>
    <w:rsid w:val="00DA1243"/>
    <w:rsid w:val="00DA1806"/>
    <w:rsid w:val="00DA246C"/>
    <w:rsid w:val="00DA260F"/>
    <w:rsid w:val="00DA2A77"/>
    <w:rsid w:val="00DA2DDC"/>
    <w:rsid w:val="00DA3459"/>
    <w:rsid w:val="00DA3729"/>
    <w:rsid w:val="00DA3962"/>
    <w:rsid w:val="00DA39A8"/>
    <w:rsid w:val="00DA46AB"/>
    <w:rsid w:val="00DA4B8C"/>
    <w:rsid w:val="00DA4E59"/>
    <w:rsid w:val="00DA5F9F"/>
    <w:rsid w:val="00DA64E6"/>
    <w:rsid w:val="00DA667C"/>
    <w:rsid w:val="00DA674B"/>
    <w:rsid w:val="00DA674E"/>
    <w:rsid w:val="00DA6DB7"/>
    <w:rsid w:val="00DA7A18"/>
    <w:rsid w:val="00DA7CB1"/>
    <w:rsid w:val="00DA7F4C"/>
    <w:rsid w:val="00DB0808"/>
    <w:rsid w:val="00DB096E"/>
    <w:rsid w:val="00DB0B2F"/>
    <w:rsid w:val="00DB0E13"/>
    <w:rsid w:val="00DB1154"/>
    <w:rsid w:val="00DB1BC1"/>
    <w:rsid w:val="00DB2479"/>
    <w:rsid w:val="00DB3279"/>
    <w:rsid w:val="00DB3520"/>
    <w:rsid w:val="00DB3E17"/>
    <w:rsid w:val="00DB46E0"/>
    <w:rsid w:val="00DB5C30"/>
    <w:rsid w:val="00DB5DAB"/>
    <w:rsid w:val="00DB5FC8"/>
    <w:rsid w:val="00DB5FD1"/>
    <w:rsid w:val="00DB6272"/>
    <w:rsid w:val="00DB6682"/>
    <w:rsid w:val="00DB726F"/>
    <w:rsid w:val="00DB7EA1"/>
    <w:rsid w:val="00DC0037"/>
    <w:rsid w:val="00DC0FE0"/>
    <w:rsid w:val="00DC1A27"/>
    <w:rsid w:val="00DC1D9E"/>
    <w:rsid w:val="00DC229B"/>
    <w:rsid w:val="00DC2EC9"/>
    <w:rsid w:val="00DC35D7"/>
    <w:rsid w:val="00DC35E8"/>
    <w:rsid w:val="00DC3659"/>
    <w:rsid w:val="00DC3888"/>
    <w:rsid w:val="00DC3A1D"/>
    <w:rsid w:val="00DC3F41"/>
    <w:rsid w:val="00DC479C"/>
    <w:rsid w:val="00DC5425"/>
    <w:rsid w:val="00DC5644"/>
    <w:rsid w:val="00DC5857"/>
    <w:rsid w:val="00DC5ADE"/>
    <w:rsid w:val="00DC5E43"/>
    <w:rsid w:val="00DC652F"/>
    <w:rsid w:val="00DC65B5"/>
    <w:rsid w:val="00DC6642"/>
    <w:rsid w:val="00DC74F9"/>
    <w:rsid w:val="00DC7A81"/>
    <w:rsid w:val="00DC7B88"/>
    <w:rsid w:val="00DD0060"/>
    <w:rsid w:val="00DD066D"/>
    <w:rsid w:val="00DD07B9"/>
    <w:rsid w:val="00DD13FE"/>
    <w:rsid w:val="00DD1D07"/>
    <w:rsid w:val="00DD1FA1"/>
    <w:rsid w:val="00DD2424"/>
    <w:rsid w:val="00DD2A14"/>
    <w:rsid w:val="00DD3104"/>
    <w:rsid w:val="00DD310F"/>
    <w:rsid w:val="00DD3345"/>
    <w:rsid w:val="00DD419B"/>
    <w:rsid w:val="00DD4C40"/>
    <w:rsid w:val="00DD4EA2"/>
    <w:rsid w:val="00DD5114"/>
    <w:rsid w:val="00DD598D"/>
    <w:rsid w:val="00DD5A6B"/>
    <w:rsid w:val="00DD5E19"/>
    <w:rsid w:val="00DD5E1B"/>
    <w:rsid w:val="00DD603B"/>
    <w:rsid w:val="00DD6751"/>
    <w:rsid w:val="00DD6794"/>
    <w:rsid w:val="00DD6AA0"/>
    <w:rsid w:val="00DD7460"/>
    <w:rsid w:val="00DD7887"/>
    <w:rsid w:val="00DD7ABA"/>
    <w:rsid w:val="00DE130E"/>
    <w:rsid w:val="00DE1518"/>
    <w:rsid w:val="00DE1A62"/>
    <w:rsid w:val="00DE1AFE"/>
    <w:rsid w:val="00DE1DFC"/>
    <w:rsid w:val="00DE31B0"/>
    <w:rsid w:val="00DE33F1"/>
    <w:rsid w:val="00DE3926"/>
    <w:rsid w:val="00DE3CE7"/>
    <w:rsid w:val="00DE3F7D"/>
    <w:rsid w:val="00DE41B0"/>
    <w:rsid w:val="00DE4274"/>
    <w:rsid w:val="00DE4EB5"/>
    <w:rsid w:val="00DE53DD"/>
    <w:rsid w:val="00DE5702"/>
    <w:rsid w:val="00DE5784"/>
    <w:rsid w:val="00DE581C"/>
    <w:rsid w:val="00DE5A32"/>
    <w:rsid w:val="00DE5D6A"/>
    <w:rsid w:val="00DE690A"/>
    <w:rsid w:val="00DE7753"/>
    <w:rsid w:val="00DE7EAF"/>
    <w:rsid w:val="00DF1271"/>
    <w:rsid w:val="00DF1727"/>
    <w:rsid w:val="00DF1E06"/>
    <w:rsid w:val="00DF218F"/>
    <w:rsid w:val="00DF269A"/>
    <w:rsid w:val="00DF379A"/>
    <w:rsid w:val="00DF46EC"/>
    <w:rsid w:val="00DF49ED"/>
    <w:rsid w:val="00DF52A0"/>
    <w:rsid w:val="00DF53AA"/>
    <w:rsid w:val="00DF6548"/>
    <w:rsid w:val="00DF67CC"/>
    <w:rsid w:val="00DF7081"/>
    <w:rsid w:val="00DF7372"/>
    <w:rsid w:val="00DF7A55"/>
    <w:rsid w:val="00DF7BC7"/>
    <w:rsid w:val="00E0021F"/>
    <w:rsid w:val="00E0029F"/>
    <w:rsid w:val="00E0095A"/>
    <w:rsid w:val="00E01B4C"/>
    <w:rsid w:val="00E020BB"/>
    <w:rsid w:val="00E021CF"/>
    <w:rsid w:val="00E02BF4"/>
    <w:rsid w:val="00E02CC2"/>
    <w:rsid w:val="00E03585"/>
    <w:rsid w:val="00E03BD6"/>
    <w:rsid w:val="00E03D93"/>
    <w:rsid w:val="00E03EDE"/>
    <w:rsid w:val="00E0414F"/>
    <w:rsid w:val="00E0494C"/>
    <w:rsid w:val="00E04D06"/>
    <w:rsid w:val="00E04FBD"/>
    <w:rsid w:val="00E05104"/>
    <w:rsid w:val="00E05127"/>
    <w:rsid w:val="00E053A1"/>
    <w:rsid w:val="00E05964"/>
    <w:rsid w:val="00E061D5"/>
    <w:rsid w:val="00E0689B"/>
    <w:rsid w:val="00E06D6D"/>
    <w:rsid w:val="00E06F05"/>
    <w:rsid w:val="00E07625"/>
    <w:rsid w:val="00E07AD9"/>
    <w:rsid w:val="00E07B44"/>
    <w:rsid w:val="00E07F2D"/>
    <w:rsid w:val="00E1089D"/>
    <w:rsid w:val="00E10DCC"/>
    <w:rsid w:val="00E12780"/>
    <w:rsid w:val="00E12848"/>
    <w:rsid w:val="00E12E9D"/>
    <w:rsid w:val="00E130A7"/>
    <w:rsid w:val="00E13412"/>
    <w:rsid w:val="00E13901"/>
    <w:rsid w:val="00E13AA8"/>
    <w:rsid w:val="00E13AE9"/>
    <w:rsid w:val="00E15E9C"/>
    <w:rsid w:val="00E161E7"/>
    <w:rsid w:val="00E165ED"/>
    <w:rsid w:val="00E17246"/>
    <w:rsid w:val="00E174AA"/>
    <w:rsid w:val="00E178A5"/>
    <w:rsid w:val="00E17BD3"/>
    <w:rsid w:val="00E20797"/>
    <w:rsid w:val="00E21A09"/>
    <w:rsid w:val="00E21BB9"/>
    <w:rsid w:val="00E22668"/>
    <w:rsid w:val="00E23CE6"/>
    <w:rsid w:val="00E23E84"/>
    <w:rsid w:val="00E23FDD"/>
    <w:rsid w:val="00E243E0"/>
    <w:rsid w:val="00E2570E"/>
    <w:rsid w:val="00E25F59"/>
    <w:rsid w:val="00E27675"/>
    <w:rsid w:val="00E27840"/>
    <w:rsid w:val="00E27A1F"/>
    <w:rsid w:val="00E27B80"/>
    <w:rsid w:val="00E27C17"/>
    <w:rsid w:val="00E27CAC"/>
    <w:rsid w:val="00E3027A"/>
    <w:rsid w:val="00E3087E"/>
    <w:rsid w:val="00E30919"/>
    <w:rsid w:val="00E31024"/>
    <w:rsid w:val="00E31B7E"/>
    <w:rsid w:val="00E31E23"/>
    <w:rsid w:val="00E31FDC"/>
    <w:rsid w:val="00E32BBE"/>
    <w:rsid w:val="00E332C2"/>
    <w:rsid w:val="00E33EBA"/>
    <w:rsid w:val="00E349A4"/>
    <w:rsid w:val="00E34EBF"/>
    <w:rsid w:val="00E35D5B"/>
    <w:rsid w:val="00E3616E"/>
    <w:rsid w:val="00E361BE"/>
    <w:rsid w:val="00E361E7"/>
    <w:rsid w:val="00E4072C"/>
    <w:rsid w:val="00E407C5"/>
    <w:rsid w:val="00E40EC1"/>
    <w:rsid w:val="00E413CE"/>
    <w:rsid w:val="00E422C4"/>
    <w:rsid w:val="00E43524"/>
    <w:rsid w:val="00E43772"/>
    <w:rsid w:val="00E437BE"/>
    <w:rsid w:val="00E439B5"/>
    <w:rsid w:val="00E44970"/>
    <w:rsid w:val="00E44DE2"/>
    <w:rsid w:val="00E456BE"/>
    <w:rsid w:val="00E457B1"/>
    <w:rsid w:val="00E457F3"/>
    <w:rsid w:val="00E4613F"/>
    <w:rsid w:val="00E46231"/>
    <w:rsid w:val="00E46646"/>
    <w:rsid w:val="00E4665A"/>
    <w:rsid w:val="00E46930"/>
    <w:rsid w:val="00E47211"/>
    <w:rsid w:val="00E47826"/>
    <w:rsid w:val="00E47E8A"/>
    <w:rsid w:val="00E47ECD"/>
    <w:rsid w:val="00E50031"/>
    <w:rsid w:val="00E50281"/>
    <w:rsid w:val="00E507C3"/>
    <w:rsid w:val="00E50BF6"/>
    <w:rsid w:val="00E50D39"/>
    <w:rsid w:val="00E50E3D"/>
    <w:rsid w:val="00E522FA"/>
    <w:rsid w:val="00E52ABE"/>
    <w:rsid w:val="00E53ACF"/>
    <w:rsid w:val="00E54178"/>
    <w:rsid w:val="00E54914"/>
    <w:rsid w:val="00E54C7F"/>
    <w:rsid w:val="00E551E7"/>
    <w:rsid w:val="00E55B87"/>
    <w:rsid w:val="00E55BA3"/>
    <w:rsid w:val="00E55DDD"/>
    <w:rsid w:val="00E56709"/>
    <w:rsid w:val="00E568DA"/>
    <w:rsid w:val="00E57308"/>
    <w:rsid w:val="00E57406"/>
    <w:rsid w:val="00E5750E"/>
    <w:rsid w:val="00E603F3"/>
    <w:rsid w:val="00E61658"/>
    <w:rsid w:val="00E62329"/>
    <w:rsid w:val="00E623AC"/>
    <w:rsid w:val="00E62F52"/>
    <w:rsid w:val="00E63069"/>
    <w:rsid w:val="00E63371"/>
    <w:rsid w:val="00E63AEA"/>
    <w:rsid w:val="00E63B30"/>
    <w:rsid w:val="00E64201"/>
    <w:rsid w:val="00E64ECA"/>
    <w:rsid w:val="00E65C67"/>
    <w:rsid w:val="00E65CF7"/>
    <w:rsid w:val="00E65F05"/>
    <w:rsid w:val="00E672AE"/>
    <w:rsid w:val="00E67719"/>
    <w:rsid w:val="00E677F4"/>
    <w:rsid w:val="00E67C02"/>
    <w:rsid w:val="00E67D99"/>
    <w:rsid w:val="00E67ECC"/>
    <w:rsid w:val="00E702C6"/>
    <w:rsid w:val="00E704AC"/>
    <w:rsid w:val="00E70676"/>
    <w:rsid w:val="00E70C78"/>
    <w:rsid w:val="00E72F11"/>
    <w:rsid w:val="00E73C10"/>
    <w:rsid w:val="00E73D08"/>
    <w:rsid w:val="00E73EF8"/>
    <w:rsid w:val="00E740CB"/>
    <w:rsid w:val="00E74AE7"/>
    <w:rsid w:val="00E74E50"/>
    <w:rsid w:val="00E75CA4"/>
    <w:rsid w:val="00E76407"/>
    <w:rsid w:val="00E76527"/>
    <w:rsid w:val="00E766B3"/>
    <w:rsid w:val="00E76A3A"/>
    <w:rsid w:val="00E76B29"/>
    <w:rsid w:val="00E76DF6"/>
    <w:rsid w:val="00E770DF"/>
    <w:rsid w:val="00E77585"/>
    <w:rsid w:val="00E77750"/>
    <w:rsid w:val="00E777CF"/>
    <w:rsid w:val="00E778C7"/>
    <w:rsid w:val="00E800A8"/>
    <w:rsid w:val="00E807C4"/>
    <w:rsid w:val="00E80FCF"/>
    <w:rsid w:val="00E81296"/>
    <w:rsid w:val="00E81437"/>
    <w:rsid w:val="00E81D91"/>
    <w:rsid w:val="00E824F5"/>
    <w:rsid w:val="00E82A72"/>
    <w:rsid w:val="00E82DBE"/>
    <w:rsid w:val="00E83427"/>
    <w:rsid w:val="00E83852"/>
    <w:rsid w:val="00E83BBB"/>
    <w:rsid w:val="00E8444D"/>
    <w:rsid w:val="00E84BDA"/>
    <w:rsid w:val="00E85796"/>
    <w:rsid w:val="00E859CD"/>
    <w:rsid w:val="00E85A65"/>
    <w:rsid w:val="00E85DDB"/>
    <w:rsid w:val="00E85F92"/>
    <w:rsid w:val="00E860CF"/>
    <w:rsid w:val="00E86347"/>
    <w:rsid w:val="00E869E0"/>
    <w:rsid w:val="00E9041C"/>
    <w:rsid w:val="00E91409"/>
    <w:rsid w:val="00E91605"/>
    <w:rsid w:val="00E92C4E"/>
    <w:rsid w:val="00E930C3"/>
    <w:rsid w:val="00E93A50"/>
    <w:rsid w:val="00E949F0"/>
    <w:rsid w:val="00E95918"/>
    <w:rsid w:val="00E95D7B"/>
    <w:rsid w:val="00E96623"/>
    <w:rsid w:val="00E9669D"/>
    <w:rsid w:val="00E96F4E"/>
    <w:rsid w:val="00E9761A"/>
    <w:rsid w:val="00E9766B"/>
    <w:rsid w:val="00E977FE"/>
    <w:rsid w:val="00EA090F"/>
    <w:rsid w:val="00EA0B15"/>
    <w:rsid w:val="00EA1502"/>
    <w:rsid w:val="00EA170F"/>
    <w:rsid w:val="00EA1C9A"/>
    <w:rsid w:val="00EA29F0"/>
    <w:rsid w:val="00EA2DBD"/>
    <w:rsid w:val="00EA3122"/>
    <w:rsid w:val="00EA3389"/>
    <w:rsid w:val="00EA39F9"/>
    <w:rsid w:val="00EA4171"/>
    <w:rsid w:val="00EA42D1"/>
    <w:rsid w:val="00EA4630"/>
    <w:rsid w:val="00EA470C"/>
    <w:rsid w:val="00EA47E6"/>
    <w:rsid w:val="00EA54F9"/>
    <w:rsid w:val="00EA5870"/>
    <w:rsid w:val="00EA5D5C"/>
    <w:rsid w:val="00EA60FA"/>
    <w:rsid w:val="00EA63FF"/>
    <w:rsid w:val="00EA72C7"/>
    <w:rsid w:val="00EA77C4"/>
    <w:rsid w:val="00EA7A28"/>
    <w:rsid w:val="00EA7A47"/>
    <w:rsid w:val="00EB0C84"/>
    <w:rsid w:val="00EB0D5B"/>
    <w:rsid w:val="00EB1E2E"/>
    <w:rsid w:val="00EB2460"/>
    <w:rsid w:val="00EB32A4"/>
    <w:rsid w:val="00EB3661"/>
    <w:rsid w:val="00EB37E3"/>
    <w:rsid w:val="00EB3E2B"/>
    <w:rsid w:val="00EB4159"/>
    <w:rsid w:val="00EB4F80"/>
    <w:rsid w:val="00EB597B"/>
    <w:rsid w:val="00EB5C13"/>
    <w:rsid w:val="00EB6D77"/>
    <w:rsid w:val="00EB6EC5"/>
    <w:rsid w:val="00EB772B"/>
    <w:rsid w:val="00EB7DEA"/>
    <w:rsid w:val="00EC121F"/>
    <w:rsid w:val="00EC127B"/>
    <w:rsid w:val="00EC1FD3"/>
    <w:rsid w:val="00EC2637"/>
    <w:rsid w:val="00EC3ABA"/>
    <w:rsid w:val="00EC3FD5"/>
    <w:rsid w:val="00EC4FD0"/>
    <w:rsid w:val="00EC5963"/>
    <w:rsid w:val="00EC5B3F"/>
    <w:rsid w:val="00EC62E2"/>
    <w:rsid w:val="00EC6BB8"/>
    <w:rsid w:val="00EC6FF2"/>
    <w:rsid w:val="00EC7211"/>
    <w:rsid w:val="00EC7AB0"/>
    <w:rsid w:val="00ED056F"/>
    <w:rsid w:val="00ED0CB4"/>
    <w:rsid w:val="00ED0FB7"/>
    <w:rsid w:val="00ED0FF8"/>
    <w:rsid w:val="00ED0FF9"/>
    <w:rsid w:val="00ED1052"/>
    <w:rsid w:val="00ED1657"/>
    <w:rsid w:val="00ED242C"/>
    <w:rsid w:val="00ED2729"/>
    <w:rsid w:val="00ED2AA7"/>
    <w:rsid w:val="00ED2D6A"/>
    <w:rsid w:val="00ED2EBD"/>
    <w:rsid w:val="00ED37A5"/>
    <w:rsid w:val="00ED394A"/>
    <w:rsid w:val="00ED3B80"/>
    <w:rsid w:val="00ED5233"/>
    <w:rsid w:val="00ED64FD"/>
    <w:rsid w:val="00ED67FB"/>
    <w:rsid w:val="00ED6A7E"/>
    <w:rsid w:val="00ED6D2E"/>
    <w:rsid w:val="00EE002F"/>
    <w:rsid w:val="00EE069F"/>
    <w:rsid w:val="00EE105B"/>
    <w:rsid w:val="00EE1557"/>
    <w:rsid w:val="00EE1949"/>
    <w:rsid w:val="00EE19B2"/>
    <w:rsid w:val="00EE22FA"/>
    <w:rsid w:val="00EE2A8B"/>
    <w:rsid w:val="00EE36A6"/>
    <w:rsid w:val="00EE3EBC"/>
    <w:rsid w:val="00EE43D8"/>
    <w:rsid w:val="00EE4575"/>
    <w:rsid w:val="00EE54EF"/>
    <w:rsid w:val="00EE5658"/>
    <w:rsid w:val="00EE5C04"/>
    <w:rsid w:val="00EE5FC2"/>
    <w:rsid w:val="00EE61DC"/>
    <w:rsid w:val="00EE6A3B"/>
    <w:rsid w:val="00EE6AEF"/>
    <w:rsid w:val="00EE7722"/>
    <w:rsid w:val="00EE798A"/>
    <w:rsid w:val="00EF00CA"/>
    <w:rsid w:val="00EF039D"/>
    <w:rsid w:val="00EF1191"/>
    <w:rsid w:val="00EF192F"/>
    <w:rsid w:val="00EF1A90"/>
    <w:rsid w:val="00EF2F32"/>
    <w:rsid w:val="00EF2F49"/>
    <w:rsid w:val="00EF486E"/>
    <w:rsid w:val="00EF497F"/>
    <w:rsid w:val="00EF4E45"/>
    <w:rsid w:val="00EF5138"/>
    <w:rsid w:val="00EF53CE"/>
    <w:rsid w:val="00EF560A"/>
    <w:rsid w:val="00EF6778"/>
    <w:rsid w:val="00EF6E2C"/>
    <w:rsid w:val="00EF6F6A"/>
    <w:rsid w:val="00EF764C"/>
    <w:rsid w:val="00EF7925"/>
    <w:rsid w:val="00EF7E3C"/>
    <w:rsid w:val="00F0027E"/>
    <w:rsid w:val="00F00657"/>
    <w:rsid w:val="00F00883"/>
    <w:rsid w:val="00F0122E"/>
    <w:rsid w:val="00F0152B"/>
    <w:rsid w:val="00F01945"/>
    <w:rsid w:val="00F0238A"/>
    <w:rsid w:val="00F0250E"/>
    <w:rsid w:val="00F02648"/>
    <w:rsid w:val="00F02F88"/>
    <w:rsid w:val="00F03D59"/>
    <w:rsid w:val="00F0409F"/>
    <w:rsid w:val="00F0443F"/>
    <w:rsid w:val="00F04A94"/>
    <w:rsid w:val="00F04C39"/>
    <w:rsid w:val="00F05136"/>
    <w:rsid w:val="00F052CF"/>
    <w:rsid w:val="00F0563A"/>
    <w:rsid w:val="00F05A22"/>
    <w:rsid w:val="00F05FAE"/>
    <w:rsid w:val="00F062F5"/>
    <w:rsid w:val="00F06657"/>
    <w:rsid w:val="00F06986"/>
    <w:rsid w:val="00F06BC8"/>
    <w:rsid w:val="00F07E34"/>
    <w:rsid w:val="00F07E9C"/>
    <w:rsid w:val="00F10E38"/>
    <w:rsid w:val="00F10F7A"/>
    <w:rsid w:val="00F114A1"/>
    <w:rsid w:val="00F11879"/>
    <w:rsid w:val="00F11C00"/>
    <w:rsid w:val="00F11F3D"/>
    <w:rsid w:val="00F122E3"/>
    <w:rsid w:val="00F1272C"/>
    <w:rsid w:val="00F127A6"/>
    <w:rsid w:val="00F131E7"/>
    <w:rsid w:val="00F133A5"/>
    <w:rsid w:val="00F13643"/>
    <w:rsid w:val="00F138CA"/>
    <w:rsid w:val="00F13CB4"/>
    <w:rsid w:val="00F141AE"/>
    <w:rsid w:val="00F146B4"/>
    <w:rsid w:val="00F1499E"/>
    <w:rsid w:val="00F14B6C"/>
    <w:rsid w:val="00F152F2"/>
    <w:rsid w:val="00F15E07"/>
    <w:rsid w:val="00F15F8F"/>
    <w:rsid w:val="00F168DB"/>
    <w:rsid w:val="00F16A53"/>
    <w:rsid w:val="00F16D88"/>
    <w:rsid w:val="00F1711D"/>
    <w:rsid w:val="00F175A2"/>
    <w:rsid w:val="00F17A23"/>
    <w:rsid w:val="00F206C7"/>
    <w:rsid w:val="00F20A84"/>
    <w:rsid w:val="00F21719"/>
    <w:rsid w:val="00F21C1E"/>
    <w:rsid w:val="00F22BAA"/>
    <w:rsid w:val="00F22CF2"/>
    <w:rsid w:val="00F235E3"/>
    <w:rsid w:val="00F23CD9"/>
    <w:rsid w:val="00F24C93"/>
    <w:rsid w:val="00F24E37"/>
    <w:rsid w:val="00F25323"/>
    <w:rsid w:val="00F2535F"/>
    <w:rsid w:val="00F25632"/>
    <w:rsid w:val="00F2580B"/>
    <w:rsid w:val="00F26EBE"/>
    <w:rsid w:val="00F27142"/>
    <w:rsid w:val="00F27FA6"/>
    <w:rsid w:val="00F30711"/>
    <w:rsid w:val="00F307FE"/>
    <w:rsid w:val="00F31A97"/>
    <w:rsid w:val="00F31ACA"/>
    <w:rsid w:val="00F321DA"/>
    <w:rsid w:val="00F32307"/>
    <w:rsid w:val="00F3248C"/>
    <w:rsid w:val="00F3291F"/>
    <w:rsid w:val="00F32E5A"/>
    <w:rsid w:val="00F33026"/>
    <w:rsid w:val="00F3327B"/>
    <w:rsid w:val="00F33C6F"/>
    <w:rsid w:val="00F34780"/>
    <w:rsid w:val="00F358DE"/>
    <w:rsid w:val="00F36090"/>
    <w:rsid w:val="00F36849"/>
    <w:rsid w:val="00F37490"/>
    <w:rsid w:val="00F37E13"/>
    <w:rsid w:val="00F407DA"/>
    <w:rsid w:val="00F40C8E"/>
    <w:rsid w:val="00F40CB1"/>
    <w:rsid w:val="00F40F44"/>
    <w:rsid w:val="00F41103"/>
    <w:rsid w:val="00F41281"/>
    <w:rsid w:val="00F41DE8"/>
    <w:rsid w:val="00F41DFB"/>
    <w:rsid w:val="00F41FD4"/>
    <w:rsid w:val="00F423B4"/>
    <w:rsid w:val="00F42777"/>
    <w:rsid w:val="00F42AFB"/>
    <w:rsid w:val="00F43184"/>
    <w:rsid w:val="00F43377"/>
    <w:rsid w:val="00F433B2"/>
    <w:rsid w:val="00F44206"/>
    <w:rsid w:val="00F44A2F"/>
    <w:rsid w:val="00F44A50"/>
    <w:rsid w:val="00F44CF2"/>
    <w:rsid w:val="00F44F98"/>
    <w:rsid w:val="00F4530E"/>
    <w:rsid w:val="00F45983"/>
    <w:rsid w:val="00F45CFD"/>
    <w:rsid w:val="00F46489"/>
    <w:rsid w:val="00F464C0"/>
    <w:rsid w:val="00F468C4"/>
    <w:rsid w:val="00F46948"/>
    <w:rsid w:val="00F46B85"/>
    <w:rsid w:val="00F46F1D"/>
    <w:rsid w:val="00F47F00"/>
    <w:rsid w:val="00F50A4F"/>
    <w:rsid w:val="00F5108E"/>
    <w:rsid w:val="00F511FB"/>
    <w:rsid w:val="00F51386"/>
    <w:rsid w:val="00F51517"/>
    <w:rsid w:val="00F52859"/>
    <w:rsid w:val="00F52DEC"/>
    <w:rsid w:val="00F52ED3"/>
    <w:rsid w:val="00F53115"/>
    <w:rsid w:val="00F53236"/>
    <w:rsid w:val="00F534A9"/>
    <w:rsid w:val="00F53727"/>
    <w:rsid w:val="00F5412E"/>
    <w:rsid w:val="00F54CE6"/>
    <w:rsid w:val="00F55290"/>
    <w:rsid w:val="00F557CB"/>
    <w:rsid w:val="00F55C1D"/>
    <w:rsid w:val="00F56511"/>
    <w:rsid w:val="00F5740B"/>
    <w:rsid w:val="00F57B91"/>
    <w:rsid w:val="00F57D7A"/>
    <w:rsid w:val="00F60306"/>
    <w:rsid w:val="00F614B6"/>
    <w:rsid w:val="00F61C2A"/>
    <w:rsid w:val="00F62313"/>
    <w:rsid w:val="00F626B9"/>
    <w:rsid w:val="00F62783"/>
    <w:rsid w:val="00F6283D"/>
    <w:rsid w:val="00F632C1"/>
    <w:rsid w:val="00F63451"/>
    <w:rsid w:val="00F6359D"/>
    <w:rsid w:val="00F63A60"/>
    <w:rsid w:val="00F63F27"/>
    <w:rsid w:val="00F641BB"/>
    <w:rsid w:val="00F6566D"/>
    <w:rsid w:val="00F659E3"/>
    <w:rsid w:val="00F65E70"/>
    <w:rsid w:val="00F66196"/>
    <w:rsid w:val="00F66258"/>
    <w:rsid w:val="00F668D5"/>
    <w:rsid w:val="00F66FC2"/>
    <w:rsid w:val="00F67423"/>
    <w:rsid w:val="00F675C4"/>
    <w:rsid w:val="00F67CF1"/>
    <w:rsid w:val="00F70719"/>
    <w:rsid w:val="00F714F1"/>
    <w:rsid w:val="00F7155B"/>
    <w:rsid w:val="00F71855"/>
    <w:rsid w:val="00F71F88"/>
    <w:rsid w:val="00F72A7A"/>
    <w:rsid w:val="00F72C75"/>
    <w:rsid w:val="00F73563"/>
    <w:rsid w:val="00F7476A"/>
    <w:rsid w:val="00F747A7"/>
    <w:rsid w:val="00F74C22"/>
    <w:rsid w:val="00F7588E"/>
    <w:rsid w:val="00F766F9"/>
    <w:rsid w:val="00F76CA3"/>
    <w:rsid w:val="00F76F49"/>
    <w:rsid w:val="00F771A8"/>
    <w:rsid w:val="00F773E4"/>
    <w:rsid w:val="00F77521"/>
    <w:rsid w:val="00F77D56"/>
    <w:rsid w:val="00F77D73"/>
    <w:rsid w:val="00F80C7D"/>
    <w:rsid w:val="00F80D9A"/>
    <w:rsid w:val="00F812DB"/>
    <w:rsid w:val="00F81428"/>
    <w:rsid w:val="00F829F0"/>
    <w:rsid w:val="00F82F61"/>
    <w:rsid w:val="00F83711"/>
    <w:rsid w:val="00F83B7A"/>
    <w:rsid w:val="00F8434A"/>
    <w:rsid w:val="00F849CD"/>
    <w:rsid w:val="00F8592F"/>
    <w:rsid w:val="00F85C59"/>
    <w:rsid w:val="00F861CC"/>
    <w:rsid w:val="00F86693"/>
    <w:rsid w:val="00F86FB1"/>
    <w:rsid w:val="00F8747F"/>
    <w:rsid w:val="00F87483"/>
    <w:rsid w:val="00F91077"/>
    <w:rsid w:val="00F9268F"/>
    <w:rsid w:val="00F939DA"/>
    <w:rsid w:val="00F94A82"/>
    <w:rsid w:val="00F950F7"/>
    <w:rsid w:val="00F958E9"/>
    <w:rsid w:val="00F95B78"/>
    <w:rsid w:val="00F95CEC"/>
    <w:rsid w:val="00F96678"/>
    <w:rsid w:val="00F966C7"/>
    <w:rsid w:val="00F967EC"/>
    <w:rsid w:val="00F96AFC"/>
    <w:rsid w:val="00F96B7B"/>
    <w:rsid w:val="00F973B2"/>
    <w:rsid w:val="00F97ADF"/>
    <w:rsid w:val="00FA0197"/>
    <w:rsid w:val="00FA0255"/>
    <w:rsid w:val="00FA0423"/>
    <w:rsid w:val="00FA0982"/>
    <w:rsid w:val="00FA1104"/>
    <w:rsid w:val="00FA1352"/>
    <w:rsid w:val="00FA2019"/>
    <w:rsid w:val="00FA2F12"/>
    <w:rsid w:val="00FA3027"/>
    <w:rsid w:val="00FA32B3"/>
    <w:rsid w:val="00FA398C"/>
    <w:rsid w:val="00FA53EC"/>
    <w:rsid w:val="00FA5A52"/>
    <w:rsid w:val="00FA5C58"/>
    <w:rsid w:val="00FA5EDA"/>
    <w:rsid w:val="00FA6452"/>
    <w:rsid w:val="00FA6FD2"/>
    <w:rsid w:val="00FA7597"/>
    <w:rsid w:val="00FA79A7"/>
    <w:rsid w:val="00FB0D96"/>
    <w:rsid w:val="00FB0ECC"/>
    <w:rsid w:val="00FB1185"/>
    <w:rsid w:val="00FB2312"/>
    <w:rsid w:val="00FB32F4"/>
    <w:rsid w:val="00FB334F"/>
    <w:rsid w:val="00FB35AC"/>
    <w:rsid w:val="00FB4620"/>
    <w:rsid w:val="00FB4939"/>
    <w:rsid w:val="00FB50A3"/>
    <w:rsid w:val="00FB5E4C"/>
    <w:rsid w:val="00FB6122"/>
    <w:rsid w:val="00FB719B"/>
    <w:rsid w:val="00FB73D2"/>
    <w:rsid w:val="00FB7913"/>
    <w:rsid w:val="00FB79DB"/>
    <w:rsid w:val="00FC0B1D"/>
    <w:rsid w:val="00FC117E"/>
    <w:rsid w:val="00FC1AF2"/>
    <w:rsid w:val="00FC357D"/>
    <w:rsid w:val="00FC3F81"/>
    <w:rsid w:val="00FC470F"/>
    <w:rsid w:val="00FC4A74"/>
    <w:rsid w:val="00FC4D48"/>
    <w:rsid w:val="00FC4FC6"/>
    <w:rsid w:val="00FC51EE"/>
    <w:rsid w:val="00FC5557"/>
    <w:rsid w:val="00FC5707"/>
    <w:rsid w:val="00FC60F0"/>
    <w:rsid w:val="00FC625D"/>
    <w:rsid w:val="00FC6B04"/>
    <w:rsid w:val="00FC7326"/>
    <w:rsid w:val="00FD0049"/>
    <w:rsid w:val="00FD031B"/>
    <w:rsid w:val="00FD0903"/>
    <w:rsid w:val="00FD15B8"/>
    <w:rsid w:val="00FD1A89"/>
    <w:rsid w:val="00FD1BB9"/>
    <w:rsid w:val="00FD1E0D"/>
    <w:rsid w:val="00FD2687"/>
    <w:rsid w:val="00FD3F57"/>
    <w:rsid w:val="00FD45F6"/>
    <w:rsid w:val="00FD540B"/>
    <w:rsid w:val="00FD5676"/>
    <w:rsid w:val="00FD6387"/>
    <w:rsid w:val="00FD7E14"/>
    <w:rsid w:val="00FD7E22"/>
    <w:rsid w:val="00FE1BA9"/>
    <w:rsid w:val="00FE1E0C"/>
    <w:rsid w:val="00FE23A4"/>
    <w:rsid w:val="00FE3060"/>
    <w:rsid w:val="00FE37DE"/>
    <w:rsid w:val="00FE3F45"/>
    <w:rsid w:val="00FE445D"/>
    <w:rsid w:val="00FE4934"/>
    <w:rsid w:val="00FE4FE8"/>
    <w:rsid w:val="00FE528B"/>
    <w:rsid w:val="00FE5D2B"/>
    <w:rsid w:val="00FE682D"/>
    <w:rsid w:val="00FE6E1D"/>
    <w:rsid w:val="00FE7B83"/>
    <w:rsid w:val="00FE7C89"/>
    <w:rsid w:val="00FF03B7"/>
    <w:rsid w:val="00FF09A7"/>
    <w:rsid w:val="00FF0C57"/>
    <w:rsid w:val="00FF1287"/>
    <w:rsid w:val="00FF192D"/>
    <w:rsid w:val="00FF2706"/>
    <w:rsid w:val="00FF2918"/>
    <w:rsid w:val="00FF2A03"/>
    <w:rsid w:val="00FF2F75"/>
    <w:rsid w:val="00FF35B3"/>
    <w:rsid w:val="00FF3655"/>
    <w:rsid w:val="00FF3AE5"/>
    <w:rsid w:val="00FF3D60"/>
    <w:rsid w:val="00FF40BD"/>
    <w:rsid w:val="00FF44EF"/>
    <w:rsid w:val="00FF465E"/>
    <w:rsid w:val="00FF4CA2"/>
    <w:rsid w:val="00FF4F44"/>
    <w:rsid w:val="00FF5010"/>
    <w:rsid w:val="00FF558C"/>
    <w:rsid w:val="00FF55F3"/>
    <w:rsid w:val="00FF69FB"/>
    <w:rsid w:val="00FF77D4"/>
    <w:rsid w:val="00FF7BDB"/>
    <w:rsid w:val="00FF7E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99F8"/>
  <w15:docId w15:val="{16A317B3-ECEC-4A85-8A4B-758C1024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F4"/>
  </w:style>
  <w:style w:type="paragraph" w:styleId="Heading1">
    <w:name w:val="heading 1"/>
    <w:basedOn w:val="Normal"/>
    <w:next w:val="Normal"/>
    <w:link w:val="Heading1Char"/>
    <w:uiPriority w:val="9"/>
    <w:qFormat/>
    <w:rsid w:val="00034F63"/>
    <w:pPr>
      <w:keepNext/>
      <w:keepLines/>
      <w:spacing w:before="240" w:after="0"/>
      <w:outlineLvl w:val="0"/>
    </w:pPr>
    <w:rPr>
      <w:rFonts w:asciiTheme="majorHAnsi" w:eastAsiaTheme="majorEastAsia" w:hAnsiTheme="majorHAnsi" w:cstheme="majorBidi"/>
      <w:color w:val="2B5582" w:themeColor="accent1" w:themeShade="BF"/>
      <w:sz w:val="32"/>
      <w:szCs w:val="32"/>
    </w:rPr>
  </w:style>
  <w:style w:type="paragraph" w:styleId="Heading3">
    <w:name w:val="heading 3"/>
    <w:basedOn w:val="Normal"/>
    <w:next w:val="Normal"/>
    <w:link w:val="Heading3Char"/>
    <w:uiPriority w:val="9"/>
    <w:unhideWhenUsed/>
    <w:qFormat/>
    <w:rsid w:val="00953C4A"/>
    <w:pPr>
      <w:keepNext/>
      <w:keepLines/>
      <w:spacing w:before="40" w:after="0"/>
      <w:outlineLvl w:val="2"/>
    </w:pPr>
    <w:rPr>
      <w:rFonts w:asciiTheme="majorHAnsi" w:eastAsiaTheme="majorEastAsia" w:hAnsiTheme="majorHAnsi" w:cstheme="majorBidi"/>
      <w:color w:val="1C39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18"/>
  </w:style>
  <w:style w:type="paragraph" w:styleId="Footer">
    <w:name w:val="footer"/>
    <w:basedOn w:val="Normal"/>
    <w:link w:val="FooterChar"/>
    <w:uiPriority w:val="99"/>
    <w:unhideWhenUsed/>
    <w:rsid w:val="00A14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18"/>
  </w:style>
  <w:style w:type="paragraph" w:customStyle="1" w:styleId="01HEADLINE">
    <w:name w:val="01 HEADLINE"/>
    <w:basedOn w:val="Header"/>
    <w:qFormat/>
    <w:rsid w:val="00A14E18"/>
    <w:pPr>
      <w:tabs>
        <w:tab w:val="clear" w:pos="4513"/>
        <w:tab w:val="clear" w:pos="9026"/>
        <w:tab w:val="center" w:pos="4320"/>
        <w:tab w:val="right" w:pos="8640"/>
      </w:tabs>
    </w:pPr>
    <w:rPr>
      <w:rFonts w:ascii="Calibri" w:eastAsia="Times New Roman" w:hAnsi="Calibri"/>
      <w:b/>
      <w:color w:val="FFFFFF"/>
      <w:sz w:val="26"/>
      <w:szCs w:val="26"/>
    </w:rPr>
  </w:style>
  <w:style w:type="paragraph" w:styleId="BalloonText">
    <w:name w:val="Balloon Text"/>
    <w:basedOn w:val="Normal"/>
    <w:link w:val="BalloonTextChar"/>
    <w:uiPriority w:val="99"/>
    <w:semiHidden/>
    <w:unhideWhenUsed/>
    <w:rsid w:val="00A14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18"/>
    <w:rPr>
      <w:rFonts w:ascii="Tahoma" w:hAnsi="Tahoma" w:cs="Tahoma"/>
      <w:sz w:val="16"/>
      <w:szCs w:val="16"/>
    </w:rPr>
  </w:style>
  <w:style w:type="paragraph" w:customStyle="1" w:styleId="02TITLE">
    <w:name w:val="02 TITLE"/>
    <w:basedOn w:val="Normal"/>
    <w:qFormat/>
    <w:rsid w:val="00003855"/>
    <w:pPr>
      <w:spacing w:after="240" w:line="240" w:lineRule="auto"/>
    </w:pPr>
    <w:rPr>
      <w:rFonts w:asciiTheme="majorHAnsi" w:eastAsiaTheme="minorEastAsia" w:hAnsiTheme="majorHAnsi"/>
      <w:b/>
      <w:color w:val="11275D"/>
      <w:sz w:val="28"/>
      <w:szCs w:val="28"/>
    </w:rPr>
  </w:style>
  <w:style w:type="paragraph" w:customStyle="1" w:styleId="04SUBSUB">
    <w:name w:val="04 SUBSUB"/>
    <w:basedOn w:val="Normal"/>
    <w:qFormat/>
    <w:rsid w:val="00003855"/>
    <w:pPr>
      <w:tabs>
        <w:tab w:val="left" w:pos="8262"/>
      </w:tabs>
      <w:spacing w:before="480" w:line="264" w:lineRule="auto"/>
      <w:ind w:left="2835" w:right="74"/>
      <w:contextualSpacing/>
      <w:jc w:val="both"/>
    </w:pPr>
    <w:rPr>
      <w:rFonts w:asciiTheme="majorHAnsi" w:eastAsiaTheme="minorEastAsia" w:hAnsiTheme="majorHAnsi" w:cstheme="majorHAnsi"/>
      <w:b/>
      <w:color w:val="11275D"/>
      <w:sz w:val="21"/>
      <w:szCs w:val="21"/>
      <w:lang w:val="en-GB"/>
    </w:rPr>
  </w:style>
  <w:style w:type="paragraph" w:styleId="ListParagraph">
    <w:name w:val="List Paragraph"/>
    <w:basedOn w:val="Normal"/>
    <w:uiPriority w:val="34"/>
    <w:qFormat/>
    <w:rsid w:val="00003855"/>
    <w:pPr>
      <w:spacing w:after="0" w:line="240" w:lineRule="auto"/>
      <w:ind w:left="720"/>
      <w:contextualSpacing/>
    </w:pPr>
    <w:rPr>
      <w:rFonts w:eastAsiaTheme="minorEastAsia"/>
      <w:sz w:val="24"/>
      <w:szCs w:val="24"/>
      <w:lang w:val="en-US"/>
    </w:rPr>
  </w:style>
  <w:style w:type="table" w:styleId="TableGrid">
    <w:name w:val="Table Grid"/>
    <w:basedOn w:val="TableNormal"/>
    <w:uiPriority w:val="59"/>
    <w:rsid w:val="0065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LAINTEXT">
    <w:name w:val="05 PLAIN TEXT"/>
    <w:basedOn w:val="Normal"/>
    <w:qFormat/>
    <w:rsid w:val="00D72CD0"/>
    <w:pPr>
      <w:tabs>
        <w:tab w:val="left" w:pos="8262"/>
      </w:tabs>
      <w:spacing w:before="120" w:after="0" w:line="264" w:lineRule="auto"/>
      <w:ind w:left="2835" w:right="74"/>
      <w:contextualSpacing/>
      <w:jc w:val="both"/>
    </w:pPr>
    <w:rPr>
      <w:rFonts w:asciiTheme="majorHAnsi" w:eastAsiaTheme="minorEastAsia" w:hAnsiTheme="majorHAnsi" w:cstheme="majorHAnsi"/>
      <w:color w:val="0D0D0D" w:themeColor="text1" w:themeTint="F2"/>
      <w:sz w:val="19"/>
      <w:szCs w:val="19"/>
      <w:lang w:val="en-GB"/>
    </w:rPr>
  </w:style>
  <w:style w:type="paragraph" w:customStyle="1" w:styleId="a">
    <w:name w:val="Τίτλος ενότητας"/>
    <w:qFormat/>
    <w:rsid w:val="00F168DB"/>
    <w:pPr>
      <w:pBdr>
        <w:bottom w:val="single" w:sz="6" w:space="11" w:color="E0CBA4"/>
      </w:pBdr>
      <w:spacing w:before="480" w:after="240" w:line="240" w:lineRule="auto"/>
      <w:ind w:left="2835"/>
    </w:pPr>
    <w:rPr>
      <w:rFonts w:asciiTheme="majorHAnsi" w:eastAsiaTheme="minorEastAsia" w:hAnsiTheme="majorHAnsi"/>
      <w:noProof/>
      <w:color w:val="000000" w:themeColor="text1"/>
      <w:sz w:val="32"/>
      <w:szCs w:val="32"/>
      <w:lang w:val="en-GB" w:eastAsia="en-GB"/>
    </w:rPr>
  </w:style>
  <w:style w:type="paragraph" w:styleId="FootnoteText">
    <w:name w:val="footnote text"/>
    <w:basedOn w:val="Normal"/>
    <w:link w:val="FootnoteTextChar"/>
    <w:uiPriority w:val="99"/>
    <w:unhideWhenUsed/>
    <w:rsid w:val="00F168DB"/>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F168DB"/>
    <w:rPr>
      <w:rFonts w:eastAsiaTheme="minorEastAsia"/>
      <w:sz w:val="20"/>
      <w:szCs w:val="20"/>
      <w:lang w:val="en-US"/>
    </w:rPr>
  </w:style>
  <w:style w:type="paragraph" w:customStyle="1" w:styleId="10TableB">
    <w:name w:val="10 Table B"/>
    <w:basedOn w:val="Normal"/>
    <w:qFormat/>
    <w:rsid w:val="00F168DB"/>
    <w:pPr>
      <w:spacing w:after="0" w:line="240" w:lineRule="auto"/>
    </w:pPr>
    <w:rPr>
      <w:rFonts w:asciiTheme="majorHAnsi" w:eastAsiaTheme="minorEastAsia" w:hAnsiTheme="majorHAnsi"/>
      <w:b/>
      <w:sz w:val="19"/>
      <w:szCs w:val="19"/>
      <w:lang w:val="en-US"/>
    </w:rPr>
  </w:style>
  <w:style w:type="paragraph" w:customStyle="1" w:styleId="11TableP">
    <w:name w:val="11 Table P"/>
    <w:basedOn w:val="Normal"/>
    <w:qFormat/>
    <w:rsid w:val="00F168DB"/>
    <w:pPr>
      <w:spacing w:after="0" w:line="240" w:lineRule="auto"/>
    </w:pPr>
    <w:rPr>
      <w:rFonts w:asciiTheme="majorHAnsi" w:eastAsiaTheme="minorEastAsia" w:hAnsiTheme="majorHAnsi"/>
      <w:sz w:val="19"/>
      <w:szCs w:val="19"/>
      <w:lang w:val="en-US"/>
    </w:rPr>
  </w:style>
  <w:style w:type="paragraph" w:styleId="NormalWeb">
    <w:name w:val="Normal (Web)"/>
    <w:basedOn w:val="Normal"/>
    <w:uiPriority w:val="99"/>
    <w:semiHidden/>
    <w:unhideWhenUsed/>
    <w:rsid w:val="008E00C1"/>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FootnoteReference">
    <w:name w:val="footnote reference"/>
    <w:basedOn w:val="DefaultParagraphFont"/>
    <w:uiPriority w:val="99"/>
    <w:semiHidden/>
    <w:unhideWhenUsed/>
    <w:rsid w:val="004631DC"/>
    <w:rPr>
      <w:vertAlign w:val="superscript"/>
    </w:rPr>
  </w:style>
  <w:style w:type="character" w:styleId="CommentReference">
    <w:name w:val="annotation reference"/>
    <w:basedOn w:val="DefaultParagraphFont"/>
    <w:uiPriority w:val="99"/>
    <w:semiHidden/>
    <w:unhideWhenUsed/>
    <w:rsid w:val="00FC7326"/>
    <w:rPr>
      <w:sz w:val="16"/>
      <w:szCs w:val="16"/>
    </w:rPr>
  </w:style>
  <w:style w:type="paragraph" w:styleId="CommentText">
    <w:name w:val="annotation text"/>
    <w:basedOn w:val="Normal"/>
    <w:link w:val="CommentTextChar"/>
    <w:uiPriority w:val="99"/>
    <w:semiHidden/>
    <w:unhideWhenUsed/>
    <w:rsid w:val="00FC7326"/>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FC7326"/>
    <w:rPr>
      <w:rFonts w:ascii="Calibri" w:hAnsi="Calibri" w:cs="Times New Roman"/>
      <w:sz w:val="20"/>
      <w:szCs w:val="20"/>
    </w:rPr>
  </w:style>
  <w:style w:type="character" w:styleId="Hyperlink">
    <w:name w:val="Hyperlink"/>
    <w:basedOn w:val="DefaultParagraphFont"/>
    <w:uiPriority w:val="99"/>
    <w:unhideWhenUsed/>
    <w:rsid w:val="00A33FE0"/>
    <w:rPr>
      <w:color w:val="0070C0" w:themeColor="hyperlink"/>
      <w:u w:val="single"/>
    </w:rPr>
  </w:style>
  <w:style w:type="numbering" w:customStyle="1" w:styleId="NoList1">
    <w:name w:val="No List1"/>
    <w:next w:val="NoList"/>
    <w:uiPriority w:val="99"/>
    <w:semiHidden/>
    <w:unhideWhenUsed/>
    <w:rsid w:val="00D612E1"/>
  </w:style>
  <w:style w:type="table" w:customStyle="1" w:styleId="TableGrid1">
    <w:name w:val="Table Grid1"/>
    <w:basedOn w:val="TableNormal"/>
    <w:next w:val="TableGrid"/>
    <w:uiPriority w:val="59"/>
    <w:rsid w:val="00D6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4F63"/>
    <w:rPr>
      <w:rFonts w:asciiTheme="majorHAnsi" w:eastAsiaTheme="majorEastAsia" w:hAnsiTheme="majorHAnsi" w:cstheme="majorBidi"/>
      <w:color w:val="2B5582" w:themeColor="accent1" w:themeShade="BF"/>
      <w:sz w:val="32"/>
      <w:szCs w:val="32"/>
    </w:rPr>
  </w:style>
  <w:style w:type="table" w:customStyle="1" w:styleId="TableGrid2">
    <w:name w:val="Table Grid2"/>
    <w:basedOn w:val="TableNormal"/>
    <w:next w:val="TableGrid"/>
    <w:uiPriority w:val="59"/>
    <w:rsid w:val="00E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772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F7721"/>
    <w:rPr>
      <w:rFonts w:ascii="Calibri" w:hAnsi="Calibri" w:cs="Times New Roman"/>
      <w:b/>
      <w:bCs/>
      <w:sz w:val="20"/>
      <w:szCs w:val="20"/>
    </w:rPr>
  </w:style>
  <w:style w:type="paragraph" w:customStyle="1" w:styleId="Default">
    <w:name w:val="Default"/>
    <w:rsid w:val="001F7F89"/>
    <w:pPr>
      <w:autoSpaceDE w:val="0"/>
      <w:autoSpaceDN w:val="0"/>
      <w:adjustRightInd w:val="0"/>
      <w:spacing w:after="0" w:line="240" w:lineRule="auto"/>
    </w:pPr>
    <w:rPr>
      <w:rFonts w:ascii="Calibri" w:hAnsi="Calibri" w:cs="Calibri"/>
      <w:color w:val="000000"/>
      <w:sz w:val="24"/>
      <w:szCs w:val="24"/>
    </w:rPr>
  </w:style>
  <w:style w:type="paragraph" w:customStyle="1" w:styleId="s2">
    <w:name w:val="s2"/>
    <w:basedOn w:val="Normal"/>
    <w:rsid w:val="00AA140F"/>
    <w:pPr>
      <w:spacing w:before="100" w:beforeAutospacing="1" w:after="100" w:afterAutospacing="1" w:line="240" w:lineRule="auto"/>
    </w:pPr>
    <w:rPr>
      <w:rFonts w:ascii="Calibri" w:hAnsi="Calibri" w:cs="Times New Roman"/>
    </w:rPr>
  </w:style>
  <w:style w:type="character" w:styleId="Emphasis">
    <w:name w:val="Emphasis"/>
    <w:basedOn w:val="DefaultParagraphFont"/>
    <w:uiPriority w:val="20"/>
    <w:qFormat/>
    <w:rsid w:val="00D513D2"/>
    <w:rPr>
      <w:b/>
      <w:bCs/>
      <w:i w:val="0"/>
      <w:iCs w:val="0"/>
    </w:rPr>
  </w:style>
  <w:style w:type="character" w:customStyle="1" w:styleId="st1">
    <w:name w:val="st1"/>
    <w:basedOn w:val="DefaultParagraphFont"/>
    <w:rsid w:val="00D513D2"/>
  </w:style>
  <w:style w:type="table" w:customStyle="1" w:styleId="TableGrid21">
    <w:name w:val="Table Grid21"/>
    <w:basedOn w:val="TableNormal"/>
    <w:next w:val="TableGrid"/>
    <w:uiPriority w:val="59"/>
    <w:rsid w:val="00ED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53C4A"/>
    <w:rPr>
      <w:rFonts w:asciiTheme="majorHAnsi" w:eastAsiaTheme="majorEastAsia" w:hAnsiTheme="majorHAnsi" w:cstheme="majorBidi"/>
      <w:color w:val="1C3956" w:themeColor="accent1" w:themeShade="7F"/>
      <w:sz w:val="24"/>
      <w:szCs w:val="24"/>
    </w:rPr>
  </w:style>
  <w:style w:type="paragraph" w:customStyle="1" w:styleId="TableParagraph">
    <w:name w:val="Table Paragraph"/>
    <w:basedOn w:val="Normal"/>
    <w:uiPriority w:val="1"/>
    <w:qFormat/>
    <w:rsid w:val="00045C2B"/>
    <w:pPr>
      <w:widowControl w:val="0"/>
      <w:autoSpaceDE w:val="0"/>
      <w:autoSpaceDN w:val="0"/>
      <w:spacing w:after="0" w:line="240" w:lineRule="auto"/>
    </w:pPr>
    <w:rPr>
      <w:rFonts w:ascii="Calibri" w:eastAsia="Calibri" w:hAnsi="Calibri" w:cs="Calibri"/>
      <w:lang w:val="en-US" w:bidi="en-US"/>
    </w:rPr>
  </w:style>
  <w:style w:type="paragraph" w:styleId="BodyText">
    <w:name w:val="Body Text"/>
    <w:basedOn w:val="Normal"/>
    <w:link w:val="BodyTextChar"/>
    <w:uiPriority w:val="1"/>
    <w:qFormat/>
    <w:rsid w:val="00FA1352"/>
    <w:pPr>
      <w:widowControl w:val="0"/>
      <w:autoSpaceDE w:val="0"/>
      <w:autoSpaceDN w:val="0"/>
      <w:spacing w:before="240" w:after="0" w:line="280" w:lineRule="exact"/>
      <w:jc w:val="both"/>
    </w:pPr>
    <w:rPr>
      <w:rFonts w:eastAsia="Piraeus Sans" w:cs="Piraeus Sans"/>
      <w:color w:val="414042"/>
      <w:sz w:val="20"/>
      <w:szCs w:val="20"/>
      <w:lang w:val="en-US"/>
    </w:rPr>
  </w:style>
  <w:style w:type="character" w:customStyle="1" w:styleId="BodyTextChar">
    <w:name w:val="Body Text Char"/>
    <w:basedOn w:val="DefaultParagraphFont"/>
    <w:link w:val="BodyText"/>
    <w:uiPriority w:val="1"/>
    <w:rsid w:val="00FA1352"/>
    <w:rPr>
      <w:rFonts w:eastAsia="Piraeus Sans" w:cs="Piraeus Sans"/>
      <w:color w:val="414042"/>
      <w:sz w:val="20"/>
      <w:szCs w:val="20"/>
      <w:lang w:val="en-US"/>
    </w:rPr>
  </w:style>
  <w:style w:type="paragraph" w:styleId="HTMLPreformatted">
    <w:name w:val="HTML Preformatted"/>
    <w:basedOn w:val="Normal"/>
    <w:link w:val="HTMLPreformattedChar"/>
    <w:uiPriority w:val="99"/>
    <w:semiHidden/>
    <w:unhideWhenUsed/>
    <w:rsid w:val="00982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82391"/>
    <w:rPr>
      <w:rFonts w:ascii="Courier New" w:eastAsia="Times New Roman" w:hAnsi="Courier New" w:cs="Courier New"/>
      <w:sz w:val="20"/>
      <w:szCs w:val="20"/>
      <w:lang w:val="en-GB" w:eastAsia="en-GB"/>
    </w:rPr>
  </w:style>
  <w:style w:type="character" w:styleId="FollowedHyperlink">
    <w:name w:val="FollowedHyperlink"/>
    <w:basedOn w:val="DefaultParagraphFont"/>
    <w:uiPriority w:val="99"/>
    <w:semiHidden/>
    <w:unhideWhenUsed/>
    <w:rsid w:val="006C1E65"/>
    <w:rPr>
      <w:color w:val="7030A0" w:themeColor="followedHyperlink"/>
      <w:u w:val="single"/>
    </w:rPr>
  </w:style>
  <w:style w:type="paragraph" w:customStyle="1" w:styleId="1">
    <w:name w:val="Βασικό1"/>
    <w:rsid w:val="00A72705"/>
    <w:pPr>
      <w:suppressAutoHyphens/>
      <w:autoSpaceDN w:val="0"/>
      <w:textAlignment w:val="baseline"/>
    </w:pPr>
    <w:rPr>
      <w:rFonts w:ascii="Calibri" w:eastAsia="Calibri" w:hAnsi="Calibri" w:cs="Times New Roman"/>
    </w:rPr>
  </w:style>
  <w:style w:type="character" w:customStyle="1" w:styleId="10">
    <w:name w:val="Προεπιλεγμένη γραμματοσειρά1"/>
    <w:rsid w:val="00A72705"/>
  </w:style>
  <w:style w:type="paragraph" w:customStyle="1" w:styleId="11">
    <w:name w:val="Παράγραφος λίστας1"/>
    <w:basedOn w:val="1"/>
    <w:rsid w:val="00C12C6C"/>
    <w:pPr>
      <w:spacing w:after="0" w:line="240" w:lineRule="auto"/>
      <w:ind w:left="720"/>
    </w:pPr>
    <w:rPr>
      <w:rFonts w:eastAsia="MS Mincho"/>
      <w:sz w:val="24"/>
      <w:szCs w:val="24"/>
      <w:lang w:val="en-US"/>
    </w:rPr>
  </w:style>
  <w:style w:type="character" w:customStyle="1" w:styleId="12">
    <w:name w:val="Προεπιλεγμένη γραμματοσειρά1"/>
    <w:rsid w:val="0094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959">
      <w:bodyDiv w:val="1"/>
      <w:marLeft w:val="0"/>
      <w:marRight w:val="0"/>
      <w:marTop w:val="0"/>
      <w:marBottom w:val="0"/>
      <w:divBdr>
        <w:top w:val="none" w:sz="0" w:space="0" w:color="auto"/>
        <w:left w:val="none" w:sz="0" w:space="0" w:color="auto"/>
        <w:bottom w:val="none" w:sz="0" w:space="0" w:color="auto"/>
        <w:right w:val="none" w:sz="0" w:space="0" w:color="auto"/>
      </w:divBdr>
    </w:div>
    <w:div w:id="53941705">
      <w:bodyDiv w:val="1"/>
      <w:marLeft w:val="0"/>
      <w:marRight w:val="0"/>
      <w:marTop w:val="0"/>
      <w:marBottom w:val="0"/>
      <w:divBdr>
        <w:top w:val="none" w:sz="0" w:space="0" w:color="auto"/>
        <w:left w:val="none" w:sz="0" w:space="0" w:color="auto"/>
        <w:bottom w:val="none" w:sz="0" w:space="0" w:color="auto"/>
        <w:right w:val="none" w:sz="0" w:space="0" w:color="auto"/>
      </w:divBdr>
    </w:div>
    <w:div w:id="145783865">
      <w:bodyDiv w:val="1"/>
      <w:marLeft w:val="0"/>
      <w:marRight w:val="0"/>
      <w:marTop w:val="0"/>
      <w:marBottom w:val="0"/>
      <w:divBdr>
        <w:top w:val="none" w:sz="0" w:space="0" w:color="auto"/>
        <w:left w:val="none" w:sz="0" w:space="0" w:color="auto"/>
        <w:bottom w:val="none" w:sz="0" w:space="0" w:color="auto"/>
        <w:right w:val="none" w:sz="0" w:space="0" w:color="auto"/>
      </w:divBdr>
    </w:div>
    <w:div w:id="233786100">
      <w:bodyDiv w:val="1"/>
      <w:marLeft w:val="0"/>
      <w:marRight w:val="0"/>
      <w:marTop w:val="0"/>
      <w:marBottom w:val="0"/>
      <w:divBdr>
        <w:top w:val="none" w:sz="0" w:space="0" w:color="auto"/>
        <w:left w:val="none" w:sz="0" w:space="0" w:color="auto"/>
        <w:bottom w:val="none" w:sz="0" w:space="0" w:color="auto"/>
        <w:right w:val="none" w:sz="0" w:space="0" w:color="auto"/>
      </w:divBdr>
    </w:div>
    <w:div w:id="271985495">
      <w:bodyDiv w:val="1"/>
      <w:marLeft w:val="0"/>
      <w:marRight w:val="0"/>
      <w:marTop w:val="0"/>
      <w:marBottom w:val="0"/>
      <w:divBdr>
        <w:top w:val="none" w:sz="0" w:space="0" w:color="auto"/>
        <w:left w:val="none" w:sz="0" w:space="0" w:color="auto"/>
        <w:bottom w:val="none" w:sz="0" w:space="0" w:color="auto"/>
        <w:right w:val="none" w:sz="0" w:space="0" w:color="auto"/>
      </w:divBdr>
    </w:div>
    <w:div w:id="313097898">
      <w:bodyDiv w:val="1"/>
      <w:marLeft w:val="0"/>
      <w:marRight w:val="0"/>
      <w:marTop w:val="0"/>
      <w:marBottom w:val="0"/>
      <w:divBdr>
        <w:top w:val="none" w:sz="0" w:space="0" w:color="auto"/>
        <w:left w:val="none" w:sz="0" w:space="0" w:color="auto"/>
        <w:bottom w:val="none" w:sz="0" w:space="0" w:color="auto"/>
        <w:right w:val="none" w:sz="0" w:space="0" w:color="auto"/>
      </w:divBdr>
    </w:div>
    <w:div w:id="371852742">
      <w:bodyDiv w:val="1"/>
      <w:marLeft w:val="0"/>
      <w:marRight w:val="0"/>
      <w:marTop w:val="0"/>
      <w:marBottom w:val="0"/>
      <w:divBdr>
        <w:top w:val="none" w:sz="0" w:space="0" w:color="auto"/>
        <w:left w:val="none" w:sz="0" w:space="0" w:color="auto"/>
        <w:bottom w:val="none" w:sz="0" w:space="0" w:color="auto"/>
        <w:right w:val="none" w:sz="0" w:space="0" w:color="auto"/>
      </w:divBdr>
    </w:div>
    <w:div w:id="416752605">
      <w:bodyDiv w:val="1"/>
      <w:marLeft w:val="0"/>
      <w:marRight w:val="0"/>
      <w:marTop w:val="0"/>
      <w:marBottom w:val="0"/>
      <w:divBdr>
        <w:top w:val="none" w:sz="0" w:space="0" w:color="auto"/>
        <w:left w:val="none" w:sz="0" w:space="0" w:color="auto"/>
        <w:bottom w:val="none" w:sz="0" w:space="0" w:color="auto"/>
        <w:right w:val="none" w:sz="0" w:space="0" w:color="auto"/>
      </w:divBdr>
    </w:div>
    <w:div w:id="465661164">
      <w:bodyDiv w:val="1"/>
      <w:marLeft w:val="0"/>
      <w:marRight w:val="0"/>
      <w:marTop w:val="0"/>
      <w:marBottom w:val="0"/>
      <w:divBdr>
        <w:top w:val="none" w:sz="0" w:space="0" w:color="auto"/>
        <w:left w:val="none" w:sz="0" w:space="0" w:color="auto"/>
        <w:bottom w:val="none" w:sz="0" w:space="0" w:color="auto"/>
        <w:right w:val="none" w:sz="0" w:space="0" w:color="auto"/>
      </w:divBdr>
    </w:div>
    <w:div w:id="522784727">
      <w:bodyDiv w:val="1"/>
      <w:marLeft w:val="0"/>
      <w:marRight w:val="0"/>
      <w:marTop w:val="0"/>
      <w:marBottom w:val="0"/>
      <w:divBdr>
        <w:top w:val="none" w:sz="0" w:space="0" w:color="auto"/>
        <w:left w:val="none" w:sz="0" w:space="0" w:color="auto"/>
        <w:bottom w:val="none" w:sz="0" w:space="0" w:color="auto"/>
        <w:right w:val="none" w:sz="0" w:space="0" w:color="auto"/>
      </w:divBdr>
      <w:divsChild>
        <w:div w:id="117382307">
          <w:marLeft w:val="0"/>
          <w:marRight w:val="0"/>
          <w:marTop w:val="0"/>
          <w:marBottom w:val="0"/>
          <w:divBdr>
            <w:top w:val="none" w:sz="0" w:space="0" w:color="auto"/>
            <w:left w:val="none" w:sz="0" w:space="0" w:color="auto"/>
            <w:bottom w:val="none" w:sz="0" w:space="0" w:color="auto"/>
            <w:right w:val="none" w:sz="0" w:space="0" w:color="auto"/>
          </w:divBdr>
          <w:divsChild>
            <w:div w:id="1861626696">
              <w:marLeft w:val="-113"/>
              <w:marRight w:val="-113"/>
              <w:marTop w:val="0"/>
              <w:marBottom w:val="0"/>
              <w:divBdr>
                <w:top w:val="none" w:sz="0" w:space="0" w:color="auto"/>
                <w:left w:val="none" w:sz="0" w:space="0" w:color="auto"/>
                <w:bottom w:val="none" w:sz="0" w:space="0" w:color="auto"/>
                <w:right w:val="none" w:sz="0" w:space="0" w:color="auto"/>
              </w:divBdr>
              <w:divsChild>
                <w:div w:id="1009256234">
                  <w:marLeft w:val="0"/>
                  <w:marRight w:val="0"/>
                  <w:marTop w:val="0"/>
                  <w:marBottom w:val="0"/>
                  <w:divBdr>
                    <w:top w:val="none" w:sz="0" w:space="0" w:color="auto"/>
                    <w:left w:val="none" w:sz="0" w:space="0" w:color="auto"/>
                    <w:bottom w:val="none" w:sz="0" w:space="0" w:color="auto"/>
                    <w:right w:val="none" w:sz="0" w:space="0" w:color="auto"/>
                  </w:divBdr>
                  <w:divsChild>
                    <w:div w:id="753628223">
                      <w:marLeft w:val="-113"/>
                      <w:marRight w:val="-113"/>
                      <w:marTop w:val="0"/>
                      <w:marBottom w:val="0"/>
                      <w:divBdr>
                        <w:top w:val="none" w:sz="0" w:space="0" w:color="auto"/>
                        <w:left w:val="none" w:sz="0" w:space="0" w:color="auto"/>
                        <w:bottom w:val="none" w:sz="0" w:space="0" w:color="auto"/>
                        <w:right w:val="none" w:sz="0" w:space="0" w:color="auto"/>
                      </w:divBdr>
                      <w:divsChild>
                        <w:div w:id="1527063963">
                          <w:marLeft w:val="0"/>
                          <w:marRight w:val="0"/>
                          <w:marTop w:val="0"/>
                          <w:marBottom w:val="0"/>
                          <w:divBdr>
                            <w:top w:val="none" w:sz="0" w:space="0" w:color="auto"/>
                            <w:left w:val="none" w:sz="0" w:space="0" w:color="auto"/>
                            <w:bottom w:val="none" w:sz="0" w:space="0" w:color="auto"/>
                            <w:right w:val="none" w:sz="0" w:space="0" w:color="auto"/>
                          </w:divBdr>
                          <w:divsChild>
                            <w:div w:id="834614138">
                              <w:marLeft w:val="-113"/>
                              <w:marRight w:val="-113"/>
                              <w:marTop w:val="0"/>
                              <w:marBottom w:val="0"/>
                              <w:divBdr>
                                <w:top w:val="none" w:sz="0" w:space="0" w:color="auto"/>
                                <w:left w:val="none" w:sz="0" w:space="0" w:color="auto"/>
                                <w:bottom w:val="none" w:sz="0" w:space="0" w:color="auto"/>
                                <w:right w:val="none" w:sz="0" w:space="0" w:color="auto"/>
                              </w:divBdr>
                              <w:divsChild>
                                <w:div w:id="1073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78958">
      <w:bodyDiv w:val="1"/>
      <w:marLeft w:val="0"/>
      <w:marRight w:val="0"/>
      <w:marTop w:val="0"/>
      <w:marBottom w:val="0"/>
      <w:divBdr>
        <w:top w:val="none" w:sz="0" w:space="0" w:color="auto"/>
        <w:left w:val="none" w:sz="0" w:space="0" w:color="auto"/>
        <w:bottom w:val="none" w:sz="0" w:space="0" w:color="auto"/>
        <w:right w:val="none" w:sz="0" w:space="0" w:color="auto"/>
      </w:divBdr>
    </w:div>
    <w:div w:id="596330001">
      <w:bodyDiv w:val="1"/>
      <w:marLeft w:val="0"/>
      <w:marRight w:val="0"/>
      <w:marTop w:val="0"/>
      <w:marBottom w:val="0"/>
      <w:divBdr>
        <w:top w:val="none" w:sz="0" w:space="0" w:color="auto"/>
        <w:left w:val="none" w:sz="0" w:space="0" w:color="auto"/>
        <w:bottom w:val="none" w:sz="0" w:space="0" w:color="auto"/>
        <w:right w:val="none" w:sz="0" w:space="0" w:color="auto"/>
      </w:divBdr>
    </w:div>
    <w:div w:id="618141896">
      <w:bodyDiv w:val="1"/>
      <w:marLeft w:val="0"/>
      <w:marRight w:val="0"/>
      <w:marTop w:val="0"/>
      <w:marBottom w:val="0"/>
      <w:divBdr>
        <w:top w:val="none" w:sz="0" w:space="0" w:color="auto"/>
        <w:left w:val="none" w:sz="0" w:space="0" w:color="auto"/>
        <w:bottom w:val="none" w:sz="0" w:space="0" w:color="auto"/>
        <w:right w:val="none" w:sz="0" w:space="0" w:color="auto"/>
      </w:divBdr>
    </w:div>
    <w:div w:id="646908061">
      <w:bodyDiv w:val="1"/>
      <w:marLeft w:val="0"/>
      <w:marRight w:val="0"/>
      <w:marTop w:val="0"/>
      <w:marBottom w:val="0"/>
      <w:divBdr>
        <w:top w:val="none" w:sz="0" w:space="0" w:color="auto"/>
        <w:left w:val="none" w:sz="0" w:space="0" w:color="auto"/>
        <w:bottom w:val="none" w:sz="0" w:space="0" w:color="auto"/>
        <w:right w:val="none" w:sz="0" w:space="0" w:color="auto"/>
      </w:divBdr>
    </w:div>
    <w:div w:id="660161196">
      <w:bodyDiv w:val="1"/>
      <w:marLeft w:val="0"/>
      <w:marRight w:val="0"/>
      <w:marTop w:val="0"/>
      <w:marBottom w:val="0"/>
      <w:divBdr>
        <w:top w:val="none" w:sz="0" w:space="0" w:color="auto"/>
        <w:left w:val="none" w:sz="0" w:space="0" w:color="auto"/>
        <w:bottom w:val="none" w:sz="0" w:space="0" w:color="auto"/>
        <w:right w:val="none" w:sz="0" w:space="0" w:color="auto"/>
      </w:divBdr>
    </w:div>
    <w:div w:id="917976577">
      <w:bodyDiv w:val="1"/>
      <w:marLeft w:val="0"/>
      <w:marRight w:val="0"/>
      <w:marTop w:val="0"/>
      <w:marBottom w:val="0"/>
      <w:divBdr>
        <w:top w:val="none" w:sz="0" w:space="0" w:color="auto"/>
        <w:left w:val="none" w:sz="0" w:space="0" w:color="auto"/>
        <w:bottom w:val="none" w:sz="0" w:space="0" w:color="auto"/>
        <w:right w:val="none" w:sz="0" w:space="0" w:color="auto"/>
      </w:divBdr>
    </w:div>
    <w:div w:id="940332131">
      <w:bodyDiv w:val="1"/>
      <w:marLeft w:val="0"/>
      <w:marRight w:val="0"/>
      <w:marTop w:val="0"/>
      <w:marBottom w:val="0"/>
      <w:divBdr>
        <w:top w:val="none" w:sz="0" w:space="0" w:color="auto"/>
        <w:left w:val="none" w:sz="0" w:space="0" w:color="auto"/>
        <w:bottom w:val="none" w:sz="0" w:space="0" w:color="auto"/>
        <w:right w:val="none" w:sz="0" w:space="0" w:color="auto"/>
      </w:divBdr>
    </w:div>
    <w:div w:id="965503141">
      <w:bodyDiv w:val="1"/>
      <w:marLeft w:val="0"/>
      <w:marRight w:val="0"/>
      <w:marTop w:val="0"/>
      <w:marBottom w:val="0"/>
      <w:divBdr>
        <w:top w:val="none" w:sz="0" w:space="0" w:color="auto"/>
        <w:left w:val="none" w:sz="0" w:space="0" w:color="auto"/>
        <w:bottom w:val="none" w:sz="0" w:space="0" w:color="auto"/>
        <w:right w:val="none" w:sz="0" w:space="0" w:color="auto"/>
      </w:divBdr>
    </w:div>
    <w:div w:id="1036853418">
      <w:bodyDiv w:val="1"/>
      <w:marLeft w:val="0"/>
      <w:marRight w:val="0"/>
      <w:marTop w:val="0"/>
      <w:marBottom w:val="0"/>
      <w:divBdr>
        <w:top w:val="none" w:sz="0" w:space="0" w:color="auto"/>
        <w:left w:val="none" w:sz="0" w:space="0" w:color="auto"/>
        <w:bottom w:val="none" w:sz="0" w:space="0" w:color="auto"/>
        <w:right w:val="none" w:sz="0" w:space="0" w:color="auto"/>
      </w:divBdr>
    </w:div>
    <w:div w:id="1044788058">
      <w:bodyDiv w:val="1"/>
      <w:marLeft w:val="0"/>
      <w:marRight w:val="0"/>
      <w:marTop w:val="0"/>
      <w:marBottom w:val="0"/>
      <w:divBdr>
        <w:top w:val="none" w:sz="0" w:space="0" w:color="auto"/>
        <w:left w:val="none" w:sz="0" w:space="0" w:color="auto"/>
        <w:bottom w:val="none" w:sz="0" w:space="0" w:color="auto"/>
        <w:right w:val="none" w:sz="0" w:space="0" w:color="auto"/>
      </w:divBdr>
    </w:div>
    <w:div w:id="1052996616">
      <w:bodyDiv w:val="1"/>
      <w:marLeft w:val="0"/>
      <w:marRight w:val="0"/>
      <w:marTop w:val="0"/>
      <w:marBottom w:val="0"/>
      <w:divBdr>
        <w:top w:val="none" w:sz="0" w:space="0" w:color="auto"/>
        <w:left w:val="none" w:sz="0" w:space="0" w:color="auto"/>
        <w:bottom w:val="none" w:sz="0" w:space="0" w:color="auto"/>
        <w:right w:val="none" w:sz="0" w:space="0" w:color="auto"/>
      </w:divBdr>
    </w:div>
    <w:div w:id="1116564502">
      <w:bodyDiv w:val="1"/>
      <w:marLeft w:val="0"/>
      <w:marRight w:val="0"/>
      <w:marTop w:val="0"/>
      <w:marBottom w:val="0"/>
      <w:divBdr>
        <w:top w:val="none" w:sz="0" w:space="0" w:color="auto"/>
        <w:left w:val="none" w:sz="0" w:space="0" w:color="auto"/>
        <w:bottom w:val="none" w:sz="0" w:space="0" w:color="auto"/>
        <w:right w:val="none" w:sz="0" w:space="0" w:color="auto"/>
      </w:divBdr>
      <w:divsChild>
        <w:div w:id="1670674015">
          <w:marLeft w:val="130"/>
          <w:marRight w:val="0"/>
          <w:marTop w:val="120"/>
          <w:marBottom w:val="0"/>
          <w:divBdr>
            <w:top w:val="none" w:sz="0" w:space="0" w:color="auto"/>
            <w:left w:val="none" w:sz="0" w:space="0" w:color="auto"/>
            <w:bottom w:val="none" w:sz="0" w:space="0" w:color="auto"/>
            <w:right w:val="none" w:sz="0" w:space="0" w:color="auto"/>
          </w:divBdr>
        </w:div>
      </w:divsChild>
    </w:div>
    <w:div w:id="1266883232">
      <w:bodyDiv w:val="1"/>
      <w:marLeft w:val="0"/>
      <w:marRight w:val="0"/>
      <w:marTop w:val="0"/>
      <w:marBottom w:val="0"/>
      <w:divBdr>
        <w:top w:val="none" w:sz="0" w:space="0" w:color="auto"/>
        <w:left w:val="none" w:sz="0" w:space="0" w:color="auto"/>
        <w:bottom w:val="none" w:sz="0" w:space="0" w:color="auto"/>
        <w:right w:val="none" w:sz="0" w:space="0" w:color="auto"/>
      </w:divBdr>
    </w:div>
    <w:div w:id="1267810181">
      <w:bodyDiv w:val="1"/>
      <w:marLeft w:val="0"/>
      <w:marRight w:val="0"/>
      <w:marTop w:val="0"/>
      <w:marBottom w:val="0"/>
      <w:divBdr>
        <w:top w:val="none" w:sz="0" w:space="0" w:color="auto"/>
        <w:left w:val="none" w:sz="0" w:space="0" w:color="auto"/>
        <w:bottom w:val="none" w:sz="0" w:space="0" w:color="auto"/>
        <w:right w:val="none" w:sz="0" w:space="0" w:color="auto"/>
      </w:divBdr>
    </w:div>
    <w:div w:id="1386611484">
      <w:bodyDiv w:val="1"/>
      <w:marLeft w:val="0"/>
      <w:marRight w:val="0"/>
      <w:marTop w:val="0"/>
      <w:marBottom w:val="0"/>
      <w:divBdr>
        <w:top w:val="none" w:sz="0" w:space="0" w:color="auto"/>
        <w:left w:val="none" w:sz="0" w:space="0" w:color="auto"/>
        <w:bottom w:val="none" w:sz="0" w:space="0" w:color="auto"/>
        <w:right w:val="none" w:sz="0" w:space="0" w:color="auto"/>
      </w:divBdr>
    </w:div>
    <w:div w:id="1395011594">
      <w:bodyDiv w:val="1"/>
      <w:marLeft w:val="0"/>
      <w:marRight w:val="0"/>
      <w:marTop w:val="0"/>
      <w:marBottom w:val="0"/>
      <w:divBdr>
        <w:top w:val="none" w:sz="0" w:space="0" w:color="auto"/>
        <w:left w:val="none" w:sz="0" w:space="0" w:color="auto"/>
        <w:bottom w:val="none" w:sz="0" w:space="0" w:color="auto"/>
        <w:right w:val="none" w:sz="0" w:space="0" w:color="auto"/>
      </w:divBdr>
    </w:div>
    <w:div w:id="1541624111">
      <w:bodyDiv w:val="1"/>
      <w:marLeft w:val="0"/>
      <w:marRight w:val="0"/>
      <w:marTop w:val="0"/>
      <w:marBottom w:val="0"/>
      <w:divBdr>
        <w:top w:val="none" w:sz="0" w:space="0" w:color="auto"/>
        <w:left w:val="none" w:sz="0" w:space="0" w:color="auto"/>
        <w:bottom w:val="none" w:sz="0" w:space="0" w:color="auto"/>
        <w:right w:val="none" w:sz="0" w:space="0" w:color="auto"/>
      </w:divBdr>
    </w:div>
    <w:div w:id="1547330318">
      <w:bodyDiv w:val="1"/>
      <w:marLeft w:val="0"/>
      <w:marRight w:val="0"/>
      <w:marTop w:val="0"/>
      <w:marBottom w:val="0"/>
      <w:divBdr>
        <w:top w:val="none" w:sz="0" w:space="0" w:color="auto"/>
        <w:left w:val="none" w:sz="0" w:space="0" w:color="auto"/>
        <w:bottom w:val="none" w:sz="0" w:space="0" w:color="auto"/>
        <w:right w:val="none" w:sz="0" w:space="0" w:color="auto"/>
      </w:divBdr>
    </w:div>
    <w:div w:id="1549024454">
      <w:bodyDiv w:val="1"/>
      <w:marLeft w:val="0"/>
      <w:marRight w:val="0"/>
      <w:marTop w:val="0"/>
      <w:marBottom w:val="0"/>
      <w:divBdr>
        <w:top w:val="none" w:sz="0" w:space="0" w:color="auto"/>
        <w:left w:val="none" w:sz="0" w:space="0" w:color="auto"/>
        <w:bottom w:val="none" w:sz="0" w:space="0" w:color="auto"/>
        <w:right w:val="none" w:sz="0" w:space="0" w:color="auto"/>
      </w:divBdr>
    </w:div>
    <w:div w:id="1736586066">
      <w:bodyDiv w:val="1"/>
      <w:marLeft w:val="0"/>
      <w:marRight w:val="0"/>
      <w:marTop w:val="0"/>
      <w:marBottom w:val="0"/>
      <w:divBdr>
        <w:top w:val="none" w:sz="0" w:space="0" w:color="auto"/>
        <w:left w:val="none" w:sz="0" w:space="0" w:color="auto"/>
        <w:bottom w:val="none" w:sz="0" w:space="0" w:color="auto"/>
        <w:right w:val="none" w:sz="0" w:space="0" w:color="auto"/>
      </w:divBdr>
    </w:div>
    <w:div w:id="1759017947">
      <w:bodyDiv w:val="1"/>
      <w:marLeft w:val="0"/>
      <w:marRight w:val="0"/>
      <w:marTop w:val="0"/>
      <w:marBottom w:val="0"/>
      <w:divBdr>
        <w:top w:val="none" w:sz="0" w:space="0" w:color="auto"/>
        <w:left w:val="none" w:sz="0" w:space="0" w:color="auto"/>
        <w:bottom w:val="none" w:sz="0" w:space="0" w:color="auto"/>
        <w:right w:val="none" w:sz="0" w:space="0" w:color="auto"/>
      </w:divBdr>
    </w:div>
    <w:div w:id="1774519332">
      <w:bodyDiv w:val="1"/>
      <w:marLeft w:val="0"/>
      <w:marRight w:val="0"/>
      <w:marTop w:val="0"/>
      <w:marBottom w:val="0"/>
      <w:divBdr>
        <w:top w:val="none" w:sz="0" w:space="0" w:color="auto"/>
        <w:left w:val="none" w:sz="0" w:space="0" w:color="auto"/>
        <w:bottom w:val="none" w:sz="0" w:space="0" w:color="auto"/>
        <w:right w:val="none" w:sz="0" w:space="0" w:color="auto"/>
      </w:divBdr>
    </w:div>
    <w:div w:id="1975788773">
      <w:bodyDiv w:val="1"/>
      <w:marLeft w:val="0"/>
      <w:marRight w:val="0"/>
      <w:marTop w:val="0"/>
      <w:marBottom w:val="0"/>
      <w:divBdr>
        <w:top w:val="none" w:sz="0" w:space="0" w:color="auto"/>
        <w:left w:val="none" w:sz="0" w:space="0" w:color="auto"/>
        <w:bottom w:val="none" w:sz="0" w:space="0" w:color="auto"/>
        <w:right w:val="none" w:sz="0" w:space="0" w:color="auto"/>
      </w:divBdr>
    </w:div>
    <w:div w:id="2020546561">
      <w:bodyDiv w:val="1"/>
      <w:marLeft w:val="0"/>
      <w:marRight w:val="0"/>
      <w:marTop w:val="0"/>
      <w:marBottom w:val="0"/>
      <w:divBdr>
        <w:top w:val="none" w:sz="0" w:space="0" w:color="auto"/>
        <w:left w:val="none" w:sz="0" w:space="0" w:color="auto"/>
        <w:bottom w:val="none" w:sz="0" w:space="0" w:color="auto"/>
        <w:right w:val="none" w:sz="0" w:space="0" w:color="auto"/>
      </w:divBdr>
    </w:div>
    <w:div w:id="2075662838">
      <w:bodyDiv w:val="1"/>
      <w:marLeft w:val="0"/>
      <w:marRight w:val="0"/>
      <w:marTop w:val="0"/>
      <w:marBottom w:val="0"/>
      <w:divBdr>
        <w:top w:val="none" w:sz="0" w:space="0" w:color="auto"/>
        <w:left w:val="none" w:sz="0" w:space="0" w:color="auto"/>
        <w:bottom w:val="none" w:sz="0" w:space="0" w:color="auto"/>
        <w:right w:val="none" w:sz="0" w:space="0" w:color="auto"/>
      </w:divBdr>
    </w:div>
    <w:div w:id="2081557182">
      <w:bodyDiv w:val="1"/>
      <w:marLeft w:val="0"/>
      <w:marRight w:val="0"/>
      <w:marTop w:val="0"/>
      <w:marBottom w:val="0"/>
      <w:divBdr>
        <w:top w:val="none" w:sz="0" w:space="0" w:color="auto"/>
        <w:left w:val="none" w:sz="0" w:space="0" w:color="auto"/>
        <w:bottom w:val="none" w:sz="0" w:space="0" w:color="auto"/>
        <w:right w:val="none" w:sz="0" w:space="0" w:color="auto"/>
      </w:divBdr>
    </w:div>
    <w:div w:id="2099249687">
      <w:bodyDiv w:val="1"/>
      <w:marLeft w:val="0"/>
      <w:marRight w:val="0"/>
      <w:marTop w:val="0"/>
      <w:marBottom w:val="0"/>
      <w:divBdr>
        <w:top w:val="none" w:sz="0" w:space="0" w:color="auto"/>
        <w:left w:val="none" w:sz="0" w:space="0" w:color="auto"/>
        <w:bottom w:val="none" w:sz="0" w:space="0" w:color="auto"/>
        <w:right w:val="none" w:sz="0" w:space="0" w:color="auto"/>
      </w:divBdr>
      <w:divsChild>
        <w:div w:id="97331102">
          <w:marLeft w:val="-240"/>
          <w:marRight w:val="-240"/>
          <w:marTop w:val="0"/>
          <w:marBottom w:val="0"/>
          <w:divBdr>
            <w:top w:val="none" w:sz="0" w:space="0" w:color="auto"/>
            <w:left w:val="none" w:sz="0" w:space="0" w:color="auto"/>
            <w:bottom w:val="none" w:sz="0" w:space="0" w:color="auto"/>
            <w:right w:val="none" w:sz="0" w:space="0" w:color="auto"/>
          </w:divBdr>
          <w:divsChild>
            <w:div w:id="2090809561">
              <w:marLeft w:val="0"/>
              <w:marRight w:val="0"/>
              <w:marTop w:val="0"/>
              <w:marBottom w:val="0"/>
              <w:divBdr>
                <w:top w:val="none" w:sz="0" w:space="0" w:color="auto"/>
                <w:left w:val="none" w:sz="0" w:space="0" w:color="auto"/>
                <w:bottom w:val="none" w:sz="0" w:space="0" w:color="auto"/>
                <w:right w:val="none" w:sz="0" w:space="0" w:color="auto"/>
              </w:divBdr>
              <w:divsChild>
                <w:div w:id="1171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raeusholdings.gr/el/investors/financials/financial-results-categories"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661079704876775E-2"/>
          <c:y val="0.15222343972945099"/>
          <c:w val="0.92790407689519605"/>
          <c:h val="0.60620807695838697"/>
        </c:manualLayout>
      </c:layout>
      <c:barChart>
        <c:barDir val="col"/>
        <c:grouping val="stacked"/>
        <c:varyColors val="0"/>
        <c:ser>
          <c:idx val="0"/>
          <c:order val="0"/>
          <c:tx>
            <c:strRef>
              <c:f>Sheet1!$B$3</c:f>
              <c:strCache>
                <c:ptCount val="1"/>
                <c:pt idx="0">
                  <c:v>Base</c:v>
                </c:pt>
              </c:strCache>
            </c:strRef>
          </c:tx>
          <c:spPr>
            <a:noFill/>
            <a:ln>
              <a:noFill/>
            </a:ln>
            <a:effectLst>
              <a:innerShdw blurRad="63500" dist="50800" dir="13500000">
                <a:prstClr val="black">
                  <a:alpha val="50000"/>
                </a:prstClr>
              </a:innerShdw>
            </a:effectLst>
          </c:spPr>
          <c:invertIfNegative val="0"/>
          <c:cat>
            <c:strRef>
              <c:f>Sheet1!$A$4:$A$10</c:f>
              <c:strCache>
                <c:ptCount val="7"/>
                <c:pt idx="0">
                  <c:v>2018</c:v>
                </c:pt>
                <c:pt idx="1">
                  <c:v>2019</c:v>
                </c:pt>
                <c:pt idx="2">
                  <c:v>Q1.20</c:v>
                </c:pt>
                <c:pt idx="3">
                  <c:v>Q2.20</c:v>
                </c:pt>
                <c:pt idx="4">
                  <c:v>Q3.20</c:v>
                </c:pt>
                <c:pt idx="5">
                  <c:v>Q4.20</c:v>
                </c:pt>
                <c:pt idx="6">
                  <c:v>2020</c:v>
                </c:pt>
              </c:strCache>
            </c:strRef>
          </c:cat>
          <c:val>
            <c:numRef>
              <c:f>Sheet1!$B$4:$B$10</c:f>
              <c:numCache>
                <c:formatCode>#,##0.0</c:formatCode>
                <c:ptCount val="7"/>
                <c:pt idx="0">
                  <c:v>0</c:v>
                </c:pt>
                <c:pt idx="1">
                  <c:v>0</c:v>
                </c:pt>
                <c:pt idx="2">
                  <c:v>0</c:v>
                </c:pt>
                <c:pt idx="3">
                  <c:v>0.6</c:v>
                </c:pt>
                <c:pt idx="4">
                  <c:v>1.2</c:v>
                </c:pt>
                <c:pt idx="5">
                  <c:v>2.2999999999999998</c:v>
                </c:pt>
                <c:pt idx="6">
                  <c:v>0</c:v>
                </c:pt>
              </c:numCache>
            </c:numRef>
          </c:val>
          <c:extLst>
            <c:ext xmlns:c16="http://schemas.microsoft.com/office/drawing/2014/chart" uri="{C3380CC4-5D6E-409C-BE32-E72D297353CC}">
              <c16:uniqueId val="{00000000-36C0-4E9D-B019-5C3BC8BEF6D4}"/>
            </c:ext>
          </c:extLst>
        </c:ser>
        <c:ser>
          <c:idx val="1"/>
          <c:order val="1"/>
          <c:tx>
            <c:strRef>
              <c:f>Sheet1!$C$3</c:f>
              <c:strCache>
                <c:ptCount val="1"/>
                <c:pt idx="0">
                  <c:v>Value</c:v>
                </c:pt>
              </c:strCache>
            </c:strRef>
          </c:tx>
          <c:spPr>
            <a:solidFill>
              <a:srgbClr val="002060"/>
            </a:solidFill>
            <a:ln>
              <a:noFill/>
            </a:ln>
            <a:effectLst/>
          </c:spPr>
          <c:invertIfNegative val="0"/>
          <c:dPt>
            <c:idx val="0"/>
            <c:invertIfNegative val="0"/>
            <c:bubble3D val="0"/>
            <c:spPr>
              <a:solidFill>
                <a:srgbClr val="6691AB"/>
              </a:solidFill>
              <a:ln>
                <a:noFill/>
              </a:ln>
              <a:effectLst/>
            </c:spPr>
            <c:extLst>
              <c:ext xmlns:c16="http://schemas.microsoft.com/office/drawing/2014/chart" uri="{C3380CC4-5D6E-409C-BE32-E72D297353CC}">
                <c16:uniqueId val="{00000002-36C0-4E9D-B019-5C3BC8BEF6D4}"/>
              </c:ext>
            </c:extLst>
          </c:dPt>
          <c:dPt>
            <c:idx val="1"/>
            <c:invertIfNegative val="0"/>
            <c:bubble3D val="0"/>
            <c:spPr>
              <a:solidFill>
                <a:srgbClr val="6691AB"/>
              </a:solidFill>
              <a:ln>
                <a:noFill/>
              </a:ln>
              <a:effectLst/>
            </c:spPr>
            <c:extLst>
              <c:ext xmlns:c16="http://schemas.microsoft.com/office/drawing/2014/chart" uri="{C3380CC4-5D6E-409C-BE32-E72D297353CC}">
                <c16:uniqueId val="{00000004-36C0-4E9D-B019-5C3BC8BEF6D4}"/>
              </c:ext>
            </c:extLst>
          </c:dPt>
          <c:dPt>
            <c:idx val="2"/>
            <c:invertIfNegative val="0"/>
            <c:bubble3D val="0"/>
            <c:spPr>
              <a:solidFill>
                <a:srgbClr val="FFC000"/>
              </a:solidFill>
              <a:ln>
                <a:noFill/>
              </a:ln>
              <a:effectLst/>
            </c:spPr>
            <c:extLst>
              <c:ext xmlns:c16="http://schemas.microsoft.com/office/drawing/2014/chart" uri="{C3380CC4-5D6E-409C-BE32-E72D297353CC}">
                <c16:uniqueId val="{00000006-36C0-4E9D-B019-5C3BC8BEF6D4}"/>
              </c:ext>
            </c:extLst>
          </c:dPt>
          <c:dPt>
            <c:idx val="3"/>
            <c:invertIfNegative val="0"/>
            <c:bubble3D val="0"/>
            <c:spPr>
              <a:solidFill>
                <a:srgbClr val="FFC000"/>
              </a:solidFill>
              <a:ln>
                <a:noFill/>
              </a:ln>
              <a:effectLst/>
            </c:spPr>
            <c:extLst>
              <c:ext xmlns:c16="http://schemas.microsoft.com/office/drawing/2014/chart" uri="{C3380CC4-5D6E-409C-BE32-E72D297353CC}">
                <c16:uniqueId val="{00000008-36C0-4E9D-B019-5C3BC8BEF6D4}"/>
              </c:ext>
            </c:extLst>
          </c:dPt>
          <c:dPt>
            <c:idx val="4"/>
            <c:invertIfNegative val="0"/>
            <c:bubble3D val="0"/>
            <c:spPr>
              <a:solidFill>
                <a:srgbClr val="FFC000"/>
              </a:solidFill>
              <a:ln>
                <a:solidFill>
                  <a:schemeClr val="tx2"/>
                </a:solidFill>
              </a:ln>
              <a:effectLst/>
            </c:spPr>
            <c:extLst>
              <c:ext xmlns:c16="http://schemas.microsoft.com/office/drawing/2014/chart" uri="{C3380CC4-5D6E-409C-BE32-E72D297353CC}">
                <c16:uniqueId val="{0000000A-36C0-4E9D-B019-5C3BC8BEF6D4}"/>
              </c:ext>
            </c:extLst>
          </c:dPt>
          <c:dPt>
            <c:idx val="5"/>
            <c:invertIfNegative val="0"/>
            <c:bubble3D val="0"/>
            <c:spPr>
              <a:solidFill>
                <a:srgbClr val="FFC000"/>
              </a:solidFill>
              <a:ln>
                <a:noFill/>
              </a:ln>
              <a:effectLst/>
            </c:spPr>
            <c:extLst>
              <c:ext xmlns:c16="http://schemas.microsoft.com/office/drawing/2014/chart" uri="{C3380CC4-5D6E-409C-BE32-E72D297353CC}">
                <c16:uniqueId val="{0000000C-36C0-4E9D-B019-5C3BC8BEF6D4}"/>
              </c:ext>
            </c:extLst>
          </c:dPt>
          <c:dPt>
            <c:idx val="6"/>
            <c:invertIfNegative val="0"/>
            <c:bubble3D val="0"/>
            <c:spPr>
              <a:solidFill>
                <a:srgbClr val="6691AB"/>
              </a:solidFill>
              <a:ln w="6350">
                <a:noFill/>
              </a:ln>
              <a:effectLst/>
            </c:spPr>
            <c:extLst>
              <c:ext xmlns:c16="http://schemas.microsoft.com/office/drawing/2014/chart" uri="{C3380CC4-5D6E-409C-BE32-E72D297353CC}">
                <c16:uniqueId val="{0000000E-36C0-4E9D-B019-5C3BC8BEF6D4}"/>
              </c:ext>
            </c:extLst>
          </c:dPt>
          <c:dLbls>
            <c:dLbl>
              <c:idx val="0"/>
              <c:layout>
                <c:manualLayout>
                  <c:x val="-4.6546861402644241E-3"/>
                  <c:y val="-0.1793121516002736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6C0-4E9D-B019-5C3BC8BEF6D4}"/>
                </c:ext>
              </c:extLst>
            </c:dLbl>
            <c:dLbl>
              <c:idx val="1"/>
              <c:layout>
                <c:manualLayout>
                  <c:x val="6.6577896138482022E-3"/>
                  <c:y val="-0.20250847802989511"/>
                </c:manualLayout>
              </c:layout>
              <c:tx>
                <c:rich>
                  <a:bodyPr wrap="square" lIns="38100" tIns="19050" rIns="38100" bIns="19050" anchor="ctr">
                    <a:spAutoFit/>
                  </a:bodyPr>
                  <a:lstStyle/>
                  <a:p>
                    <a:pPr>
                      <a:defRPr sz="800" b="0" strike="noStrike">
                        <a:solidFill>
                          <a:schemeClr val="tx1"/>
                        </a:solidFill>
                      </a:defRPr>
                    </a:pPr>
                    <a:fld id="{96BCD2CE-824D-4938-B58B-F1452BF8B07D}" type="VALUE">
                      <a:rPr lang="en-US" sz="800" b="0" strike="noStrike" smtClean="0">
                        <a:solidFill>
                          <a:schemeClr val="tx1"/>
                        </a:solidFill>
                      </a:rPr>
                      <a:pPr>
                        <a:defRPr sz="800" b="0" strike="noStrike">
                          <a:solidFill>
                            <a:schemeClr val="tx1"/>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36C0-4E9D-B019-5C3BC8BEF6D4}"/>
                </c:ext>
              </c:extLst>
            </c:dLbl>
            <c:dLbl>
              <c:idx val="2"/>
              <c:layout>
                <c:manualLayout>
                  <c:x val="9.8131625024901175E-3"/>
                  <c:y val="-8.6948200328933009E-2"/>
                </c:manualLayout>
              </c:layout>
              <c:tx>
                <c:rich>
                  <a:bodyPr wrap="square" lIns="38100" tIns="19050" rIns="38100" bIns="19050" anchor="ctr">
                    <a:spAutoFit/>
                  </a:bodyPr>
                  <a:lstStyle/>
                  <a:p>
                    <a:pPr>
                      <a:defRPr sz="800" b="0">
                        <a:solidFill>
                          <a:srgbClr val="002060"/>
                        </a:solidFill>
                      </a:defRPr>
                    </a:pPr>
                    <a:fld id="{6F16FD5B-AA36-42EC-B91D-46C0E1253ABD}" type="VALUE">
                      <a:rPr lang="en-US" b="0" smtClean="0">
                        <a:solidFill>
                          <a:srgbClr val="002060"/>
                        </a:solidFill>
                      </a:rPr>
                      <a:pPr>
                        <a:defRPr sz="800" b="0">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36C0-4E9D-B019-5C3BC8BEF6D4}"/>
                </c:ext>
              </c:extLst>
            </c:dLbl>
            <c:dLbl>
              <c:idx val="3"/>
              <c:layout>
                <c:manualLayout>
                  <c:x val="3.1553728886419157E-3"/>
                  <c:y val="-0.10949903212190898"/>
                </c:manualLayout>
              </c:layout>
              <c:tx>
                <c:rich>
                  <a:bodyPr wrap="square" lIns="38100" tIns="19050" rIns="38100" bIns="19050" anchor="ctr">
                    <a:spAutoFit/>
                  </a:bodyPr>
                  <a:lstStyle/>
                  <a:p>
                    <a:pPr>
                      <a:defRPr sz="800" b="0">
                        <a:solidFill>
                          <a:srgbClr val="002060"/>
                        </a:solidFill>
                      </a:defRPr>
                    </a:pPr>
                    <a:fld id="{50F50371-9409-4275-9F2F-44792D5EC982}" type="VALUE">
                      <a:rPr lang="en-US" b="0" smtClean="0">
                        <a:solidFill>
                          <a:srgbClr val="002060"/>
                        </a:solidFill>
                      </a:rPr>
                      <a:pPr>
                        <a:defRPr sz="800" b="0">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36C0-4E9D-B019-5C3BC8BEF6D4}"/>
                </c:ext>
              </c:extLst>
            </c:dLbl>
            <c:dLbl>
              <c:idx val="4"/>
              <c:layout>
                <c:manualLayout>
                  <c:x val="-5.8583306247837524E-4"/>
                  <c:y val="-0.13727058378331175"/>
                </c:manualLayout>
              </c:layout>
              <c:tx>
                <c:rich>
                  <a:bodyPr wrap="square" lIns="38100" tIns="19050" rIns="38100" bIns="19050" anchor="ctr">
                    <a:noAutofit/>
                  </a:bodyPr>
                  <a:lstStyle/>
                  <a:p>
                    <a:pPr>
                      <a:defRPr sz="800" b="0">
                        <a:solidFill>
                          <a:srgbClr val="002060"/>
                        </a:solidFill>
                      </a:defRPr>
                    </a:pPr>
                    <a:fld id="{F80775B7-9C0E-472D-952E-E478A056E8D0}" type="VALUE">
                      <a:rPr lang="en-US" sz="800" b="0" smtClean="0">
                        <a:solidFill>
                          <a:srgbClr val="002060"/>
                        </a:solidFill>
                      </a:rPr>
                      <a:pPr>
                        <a:defRPr sz="800" b="0">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3436205793849668"/>
                      <c:h val="0.10811416595106757"/>
                    </c:manualLayout>
                  </c15:layout>
                  <c15:dlblFieldTable/>
                  <c15:showDataLabelsRange val="0"/>
                </c:ext>
                <c:ext xmlns:c16="http://schemas.microsoft.com/office/drawing/2014/chart" uri="{C3380CC4-5D6E-409C-BE32-E72D297353CC}">
                  <c16:uniqueId val="{0000000A-36C0-4E9D-B019-5C3BC8BEF6D4}"/>
                </c:ext>
              </c:extLst>
            </c:dLbl>
            <c:dLbl>
              <c:idx val="5"/>
              <c:layout>
                <c:manualLayout>
                  <c:x val="-4.8942617192824266E-3"/>
                  <c:y val="-0.20616894930647534"/>
                </c:manualLayout>
              </c:layout>
              <c:numFmt formatCode="#,##0.0" sourceLinked="0"/>
              <c:spPr>
                <a:noFill/>
                <a:ln>
                  <a:noFill/>
                </a:ln>
                <a:effectLst/>
              </c:spPr>
              <c:txPr>
                <a:bodyPr wrap="square" lIns="38100" tIns="19050" rIns="38100" bIns="19050" anchor="ctr">
                  <a:spAutoFit/>
                </a:bodyPr>
                <a:lstStyle/>
                <a:p>
                  <a:pPr>
                    <a:defRPr sz="800" b="0">
                      <a:solidFill>
                        <a:srgbClr val="002060"/>
                      </a:solidFil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6C0-4E9D-B019-5C3BC8BEF6D4}"/>
                </c:ext>
              </c:extLst>
            </c:dLbl>
            <c:dLbl>
              <c:idx val="6"/>
              <c:layout>
                <c:manualLayout>
                  <c:x val="0"/>
                  <c:y val="-0.35576651578441787"/>
                </c:manualLayout>
              </c:layout>
              <c:tx>
                <c:rich>
                  <a:bodyPr wrap="square" lIns="38100" tIns="19050" rIns="38100" bIns="19050" anchor="ctr">
                    <a:spAutoFit/>
                  </a:bodyPr>
                  <a:lstStyle/>
                  <a:p>
                    <a:pPr>
                      <a:defRPr sz="800" b="1">
                        <a:solidFill>
                          <a:srgbClr val="002060"/>
                        </a:solidFill>
                      </a:defRPr>
                    </a:pPr>
                    <a:fld id="{51AAF8A2-BE80-43CD-8F75-426AD9B2DB42}" type="VALUE">
                      <a:rPr lang="en-US" b="1" smtClean="0">
                        <a:solidFill>
                          <a:srgbClr val="002060"/>
                        </a:solidFill>
                      </a:rPr>
                      <a:pPr>
                        <a:defRPr sz="800" b="1">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36C0-4E9D-B019-5C3BC8BEF6D4}"/>
                </c:ext>
              </c:extLst>
            </c:dLbl>
            <c:dLbl>
              <c:idx val="7"/>
              <c:layout>
                <c:manualLayout>
                  <c:x val="1.3789835732718856E-7"/>
                  <c:y val="-3.406269615626039E-2"/>
                </c:manualLayout>
              </c:layout>
              <c:tx>
                <c:rich>
                  <a:bodyPr wrap="square" lIns="38100" tIns="19050" rIns="38100" bIns="19050" anchor="ctr">
                    <a:noAutofit/>
                  </a:bodyPr>
                  <a:lstStyle/>
                  <a:p>
                    <a:pPr>
                      <a:defRPr sz="800" b="0">
                        <a:solidFill>
                          <a:schemeClr val="tx1"/>
                        </a:solidFill>
                      </a:defRPr>
                    </a:pPr>
                    <a:r>
                      <a:rPr lang="en-US" sz="800" b="0" dirty="0">
                        <a:solidFill>
                          <a:schemeClr val="tx1"/>
                        </a:solidFill>
                      </a:rPr>
                      <a:t>+</a:t>
                    </a:r>
                    <a:fld id="{8ECA1770-2F3F-42F5-892C-61D4E3F22974}" type="VALUE">
                      <a:rPr lang="en-US" sz="800" b="0" smtClean="0">
                        <a:solidFill>
                          <a:schemeClr val="tx1"/>
                        </a:solidFill>
                      </a:rPr>
                      <a:pPr>
                        <a:defRPr sz="800" b="0">
                          <a:solidFill>
                            <a:schemeClr val="tx1"/>
                          </a:solidFill>
                        </a:defRPr>
                      </a:pPr>
                      <a:t>[VALUE]</a:t>
                    </a:fld>
                    <a:endParaRPr lang="en-US" sz="800" b="0" dirty="0">
                      <a:solidFill>
                        <a:schemeClr val="tx1"/>
                      </a:solidFill>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7.8212350686180057E-2"/>
                      <c:h val="6.5807242665495924E-2"/>
                    </c:manualLayout>
                  </c15:layout>
                  <c15:dlblFieldTable/>
                  <c15:showDataLabelsRange val="0"/>
                </c:ext>
                <c:ext xmlns:c16="http://schemas.microsoft.com/office/drawing/2014/chart" uri="{C3380CC4-5D6E-409C-BE32-E72D297353CC}">
                  <c16:uniqueId val="{0000000F-36C0-4E9D-B019-5C3BC8BEF6D4}"/>
                </c:ext>
              </c:extLst>
            </c:dLbl>
            <c:dLbl>
              <c:idx val="8"/>
              <c:layout>
                <c:manualLayout>
                  <c:x val="-2.8591845408219236E-3"/>
                  <c:y val="-5.4200297849819869E-2"/>
                </c:manualLayout>
              </c:layout>
              <c:tx>
                <c:rich>
                  <a:bodyPr/>
                  <a:lstStyle/>
                  <a:p>
                    <a:r>
                      <a:rPr lang="en-US" sz="800" b="1" dirty="0">
                        <a:solidFill>
                          <a:schemeClr val="tx1"/>
                        </a:solidFill>
                      </a:rPr>
                      <a:t>+</a:t>
                    </a:r>
                    <a:fld id="{B62102F7-5E17-4C8B-B1FE-2FB696017A63}" type="VALUE">
                      <a:rPr lang="en-US" sz="800" b="1" smtClean="0">
                        <a:solidFill>
                          <a:schemeClr val="tx1"/>
                        </a:solidFill>
                      </a:rPr>
                      <a:pPr/>
                      <a:t>[VALUE]</a:t>
                    </a:fld>
                    <a:endParaRPr lang="en-US" sz="800"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layout>
                    <c:manualLayout>
                      <c:w val="8.0785546266415764E-2"/>
                      <c:h val="8.8910878903124962E-2"/>
                    </c:manualLayout>
                  </c15:layout>
                  <c15:dlblFieldTable/>
                  <c15:showDataLabelsRange val="0"/>
                </c:ext>
                <c:ext xmlns:c16="http://schemas.microsoft.com/office/drawing/2014/chart" uri="{C3380CC4-5D6E-409C-BE32-E72D297353CC}">
                  <c16:uniqueId val="{00000010-36C0-4E9D-B019-5C3BC8BEF6D4}"/>
                </c:ext>
              </c:extLst>
            </c:dLbl>
            <c:dLbl>
              <c:idx val="9"/>
              <c:layout>
                <c:manualLayout>
                  <c:x val="-7.3086374473985916E-5"/>
                  <c:y val="-5.8186065154761234E-2"/>
                </c:manualLayout>
              </c:layout>
              <c:tx>
                <c:rich>
                  <a:bodyPr wrap="square" lIns="38100" tIns="19050" rIns="38100" bIns="19050" anchor="ctr">
                    <a:spAutoFit/>
                  </a:bodyPr>
                  <a:lstStyle/>
                  <a:p>
                    <a:pPr>
                      <a:defRPr sz="800" b="0">
                        <a:solidFill>
                          <a:schemeClr val="tx1"/>
                        </a:solidFill>
                      </a:defRPr>
                    </a:pPr>
                    <a:r>
                      <a:rPr lang="en-US" sz="800" b="0" dirty="0">
                        <a:solidFill>
                          <a:schemeClr val="tx1"/>
                        </a:solidFill>
                      </a:rPr>
                      <a:t>+</a:t>
                    </a:r>
                    <a:fld id="{CAFD8BFC-0DE0-4924-8C65-C94BDDE8A294}" type="VALUE">
                      <a:rPr lang="en-US" sz="800" b="0" smtClean="0">
                        <a:solidFill>
                          <a:schemeClr val="tx1"/>
                        </a:solidFill>
                      </a:rPr>
                      <a:pPr>
                        <a:defRPr sz="800" b="0">
                          <a:solidFill>
                            <a:schemeClr val="tx1"/>
                          </a:solidFill>
                        </a:defRPr>
                      </a:pPr>
                      <a:t>[VALUE]</a:t>
                    </a:fld>
                    <a:endParaRPr lang="en-US" sz="800" b="0" dirty="0">
                      <a:solidFill>
                        <a:schemeClr val="tx1"/>
                      </a:solidFill>
                    </a:endParaRPr>
                  </a:p>
                </c:rich>
              </c:tx>
              <c:numFmt formatCode="#,##0.0" sourceLinked="0"/>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6C0-4E9D-B019-5C3BC8BEF6D4}"/>
                </c:ext>
              </c:extLst>
            </c:dLbl>
            <c:dLbl>
              <c:idx val="10"/>
              <c:layout>
                <c:manualLayout>
                  <c:x val="8.3407260181213229E-4"/>
                  <c:y val="-0.248258070868564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6C0-4E9D-B019-5C3BC8BEF6D4}"/>
                </c:ext>
              </c:extLst>
            </c:dLbl>
            <c:dLbl>
              <c:idx val="11"/>
              <c:layout>
                <c:manualLayout>
                  <c:x val="-3.7375520387905015E-3"/>
                  <c:y val="-4.3018903164110694E-2"/>
                </c:manualLayout>
              </c:layout>
              <c:tx>
                <c:rich>
                  <a:bodyPr/>
                  <a:lstStyle/>
                  <a:p>
                    <a:r>
                      <a:rPr lang="en-US" dirty="0"/>
                      <a:t>+</a:t>
                    </a:r>
                    <a:fld id="{C0BBF676-306B-41EE-B67B-8CB6544E154A}"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36C0-4E9D-B019-5C3BC8BEF6D4}"/>
                </c:ext>
              </c:extLst>
            </c:dLbl>
            <c:dLbl>
              <c:idx val="12"/>
              <c:layout>
                <c:manualLayout>
                  <c:x val="3.3246151556871764E-4"/>
                  <c:y val="-5.002793880540083E-2"/>
                </c:manualLayout>
              </c:layout>
              <c:tx>
                <c:rich>
                  <a:bodyPr/>
                  <a:lstStyle/>
                  <a:p>
                    <a:r>
                      <a:rPr lang="en-US" sz="800" b="1" dirty="0">
                        <a:solidFill>
                          <a:schemeClr val="tx1"/>
                        </a:solidFill>
                      </a:rPr>
                      <a:t>+</a:t>
                    </a:r>
                    <a:fld id="{1B45FE49-35A9-467C-A0E8-2F87C18A681B}" type="VALUE">
                      <a:rPr lang="en-US" sz="800" b="1" smtClean="0">
                        <a:solidFill>
                          <a:schemeClr val="tx1"/>
                        </a:solidFill>
                      </a:rPr>
                      <a:pPr/>
                      <a:t>[VALUE]</a:t>
                    </a:fld>
                    <a:endParaRPr lang="en-US" sz="800"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36C0-4E9D-B019-5C3BC8BEF6D4}"/>
                </c:ext>
              </c:extLst>
            </c:dLbl>
            <c:dLbl>
              <c:idx val="13"/>
              <c:layout>
                <c:manualLayout>
                  <c:x val="1.6253358438825575E-3"/>
                  <c:y val="-4.8002067717756627E-2"/>
                </c:manualLayout>
              </c:layout>
              <c:tx>
                <c:rich>
                  <a:bodyPr/>
                  <a:lstStyle/>
                  <a:p>
                    <a:r>
                      <a:rPr lang="en-US" sz="800" b="1" dirty="0">
                        <a:solidFill>
                          <a:schemeClr val="tx1"/>
                        </a:solidFill>
                      </a:rPr>
                      <a:t>+</a:t>
                    </a:r>
                    <a:fld id="{DB28ADC0-13B2-45A0-AEB5-6A859428BF7A}" type="VALUE">
                      <a:rPr lang="en-US" sz="800" b="1" smtClean="0">
                        <a:solidFill>
                          <a:schemeClr val="tx1"/>
                        </a:solidFill>
                      </a:rPr>
                      <a:pPr/>
                      <a:t>[VALUE]</a:t>
                    </a:fld>
                    <a:endParaRPr lang="en-US" sz="800"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36C0-4E9D-B019-5C3BC8BEF6D4}"/>
                </c:ext>
              </c:extLst>
            </c:dLbl>
            <c:dLbl>
              <c:idx val="14"/>
              <c:layout>
                <c:manualLayout>
                  <c:x val="-3.110333901514391E-4"/>
                  <c:y val="-4.2053440657731318E-2"/>
                </c:manualLayout>
              </c:layout>
              <c:tx>
                <c:rich>
                  <a:bodyPr/>
                  <a:lstStyle/>
                  <a:p>
                    <a:r>
                      <a:rPr lang="en-US" sz="800" b="0" i="0" u="none" strike="noStrike" kern="1200" baseline="0" dirty="0">
                        <a:solidFill>
                          <a:schemeClr val="tx1"/>
                        </a:solidFill>
                        <a:latin typeface="+mj-lt"/>
                        <a:ea typeface="+mn-ea"/>
                        <a:cs typeface="+mn-cs"/>
                      </a:rPr>
                      <a:t>+</a:t>
                    </a:r>
                    <a:fld id="{538F8BED-6CBF-43E9-95F5-C3A5F330FBC9}" type="VALUE">
                      <a:rPr lang="en-US" sz="800" b="0" i="0" u="none" strike="noStrike" kern="1200" baseline="0" smtClean="0">
                        <a:solidFill>
                          <a:schemeClr val="tx1"/>
                        </a:solidFill>
                        <a:latin typeface="+mj-lt"/>
                        <a:ea typeface="+mn-ea"/>
                        <a:cs typeface="+mn-cs"/>
                      </a:rPr>
                      <a:pPr/>
                      <a:t>[VALUE]</a:t>
                    </a:fld>
                    <a:endParaRPr lang="en-US" sz="800" b="0" i="0" u="none" strike="noStrike" kern="1200" baseline="0" dirty="0">
                      <a:solidFill>
                        <a:schemeClr val="tx1"/>
                      </a:solidFill>
                      <a:latin typeface="+mj-lt"/>
                      <a:ea typeface="+mn-ea"/>
                      <a:cs typeface="+mn-cs"/>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36C0-4E9D-B019-5C3BC8BEF6D4}"/>
                </c:ext>
              </c:extLst>
            </c:dLbl>
            <c:dLbl>
              <c:idx val="15"/>
              <c:layout>
                <c:manualLayout>
                  <c:x val="-9.4294921183889194E-5"/>
                  <c:y val="-0.269577717879605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6C0-4E9D-B019-5C3BC8BEF6D4}"/>
                </c:ext>
              </c:extLst>
            </c:dLbl>
            <c:dLbl>
              <c:idx val="16"/>
              <c:layout>
                <c:manualLayout>
                  <c:x val="-1.7797693755225007E-3"/>
                  <c:y val="3.3148469519624885E-2"/>
                </c:manualLayout>
              </c:layout>
              <c:tx>
                <c:rich>
                  <a:bodyPr/>
                  <a:lstStyle/>
                  <a:p>
                    <a:r>
                      <a:rPr lang="en-US" dirty="0"/>
                      <a:t>-</a:t>
                    </a:r>
                    <a:fld id="{78A118A8-19A8-495C-9CB0-5D57EFED573A}"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36C0-4E9D-B019-5C3BC8BEF6D4}"/>
                </c:ext>
              </c:extLst>
            </c:dLbl>
            <c:dLbl>
              <c:idx val="17"/>
              <c:layout>
                <c:manualLayout>
                  <c:x val="0"/>
                  <c:y val="-3.5514529409592765E-2"/>
                </c:manualLayout>
              </c:layout>
              <c:tx>
                <c:rich>
                  <a:bodyPr/>
                  <a:lstStyle/>
                  <a:p>
                    <a:r>
                      <a:rPr lang="en-US" sz="800" b="1" i="0" u="none" strike="noStrike" kern="1200" baseline="0" dirty="0">
                        <a:solidFill>
                          <a:schemeClr val="tx1"/>
                        </a:solidFill>
                        <a:latin typeface="+mj-lt"/>
                        <a:ea typeface="+mn-ea"/>
                        <a:cs typeface="+mn-cs"/>
                      </a:rPr>
                      <a:t>+</a:t>
                    </a:r>
                    <a:fld id="{6B3315B9-47DF-48C1-8083-0841C0681CF5}" type="VALUE">
                      <a:rPr lang="en-US" sz="800" b="1" i="0" u="none" strike="noStrike" kern="1200" baseline="0" smtClean="0">
                        <a:solidFill>
                          <a:schemeClr val="tx1"/>
                        </a:solidFill>
                        <a:latin typeface="+mj-lt"/>
                        <a:ea typeface="+mn-ea"/>
                        <a:cs typeface="+mn-cs"/>
                      </a:rPr>
                      <a:pPr/>
                      <a:t>[VALUE]</a:t>
                    </a:fld>
                    <a:endParaRPr lang="en-US" sz="800" b="1" i="0" u="none" strike="noStrike" kern="1200" baseline="0" dirty="0">
                      <a:solidFill>
                        <a:schemeClr val="tx1"/>
                      </a:solidFill>
                      <a:latin typeface="+mj-lt"/>
                      <a:ea typeface="+mn-ea"/>
                      <a:cs typeface="+mn-cs"/>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36C0-4E9D-B019-5C3BC8BEF6D4}"/>
                </c:ext>
              </c:extLst>
            </c:dLbl>
            <c:dLbl>
              <c:idx val="18"/>
              <c:layout>
                <c:manualLayout>
                  <c:x val="-8.8988468776118705E-4"/>
                  <c:y val="-4.6495833794877477E-2"/>
                </c:manualLayout>
              </c:layout>
              <c:tx>
                <c:rich>
                  <a:bodyPr wrap="square" lIns="38100" tIns="19050" rIns="38100" bIns="19050" anchor="ctr">
                    <a:noAutofit/>
                  </a:bodyPr>
                  <a:lstStyle/>
                  <a:p>
                    <a:pPr>
                      <a:defRPr sz="800" b="0">
                        <a:solidFill>
                          <a:schemeClr val="tx1"/>
                        </a:solidFill>
                      </a:defRPr>
                    </a:pPr>
                    <a:r>
                      <a:rPr lang="en-US" b="0" dirty="0">
                        <a:solidFill>
                          <a:schemeClr val="tx1"/>
                        </a:solidFill>
                      </a:rPr>
                      <a:t>+</a:t>
                    </a:r>
                    <a:fld id="{923CAE52-84B6-4CEA-9DCB-33D5CDBA04C5}" type="VALUE">
                      <a:rPr lang="en-US" b="0" smtClean="0">
                        <a:solidFill>
                          <a:schemeClr val="tx1"/>
                        </a:solidFill>
                      </a:rPr>
                      <a:pPr>
                        <a:defRPr sz="800" b="0">
                          <a:solidFill>
                            <a:schemeClr val="tx1"/>
                          </a:solidFill>
                        </a:defRPr>
                      </a:pPr>
                      <a:t>[VALUE]</a:t>
                    </a:fld>
                    <a:endParaRPr lang="en-US" b="0" dirty="0">
                      <a:solidFill>
                        <a:schemeClr val="tx1"/>
                      </a:solidFill>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4.2945835031354775E-2"/>
                      <c:h val="8.6064320791640503E-2"/>
                    </c:manualLayout>
                  </c15:layout>
                  <c15:dlblFieldTable/>
                  <c15:showDataLabelsRange val="0"/>
                </c:ext>
                <c:ext xmlns:c16="http://schemas.microsoft.com/office/drawing/2014/chart" uri="{C3380CC4-5D6E-409C-BE32-E72D297353CC}">
                  <c16:uniqueId val="{0000001A-36C0-4E9D-B019-5C3BC8BEF6D4}"/>
                </c:ext>
              </c:extLst>
            </c:dLbl>
            <c:dLbl>
              <c:idx val="19"/>
              <c:layout>
                <c:manualLayout>
                  <c:x val="-1.7959085725332128E-3"/>
                  <c:y val="-5.3532720402712744E-2"/>
                </c:manualLayout>
              </c:layout>
              <c:tx>
                <c:rich>
                  <a:bodyPr/>
                  <a:lstStyle/>
                  <a:p>
                    <a:r>
                      <a:rPr lang="en-US" b="1" dirty="0">
                        <a:solidFill>
                          <a:schemeClr val="tx1"/>
                        </a:solidFill>
                      </a:rPr>
                      <a:t>+</a:t>
                    </a:r>
                    <a:fld id="{C5B24CF9-4DA6-48C9-BC9E-A93ED788770E}" type="VALUE">
                      <a:rPr lang="en-US" b="1" smtClean="0">
                        <a:solidFill>
                          <a:schemeClr val="tx1"/>
                        </a:solidFill>
                      </a:rPr>
                      <a:pPr/>
                      <a:t>[VALUE]</a:t>
                    </a:fld>
                    <a:endParaRPr lang="en-US"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36C0-4E9D-B019-5C3BC8BEF6D4}"/>
                </c:ext>
              </c:extLst>
            </c:dLbl>
            <c:dLbl>
              <c:idx val="20"/>
              <c:layout>
                <c:manualLayout>
                  <c:x val="-1.2933577138460008E-16"/>
                  <c:y val="-0.2744944553163731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6C0-4E9D-B019-5C3BC8BEF6D4}"/>
                </c:ext>
              </c:extLst>
            </c:dLbl>
            <c:dLbl>
              <c:idx val="21"/>
              <c:layout>
                <c:manualLayout>
                  <c:x val="-2.6455349757777448E-3"/>
                  <c:y val="3.6875284618887616E-2"/>
                </c:manualLayout>
              </c:layout>
              <c:tx>
                <c:rich>
                  <a:bodyPr/>
                  <a:lstStyle/>
                  <a:p>
                    <a:r>
                      <a:rPr lang="en-US" dirty="0"/>
                      <a:t>-</a:t>
                    </a:r>
                    <a:fld id="{03E75786-1EE0-4C2B-82F1-C9CC22BDC022}"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manualLayout>
                      <c:w val="3.4489027070835891E-2"/>
                      <c:h val="7.9811936146906404E-2"/>
                    </c:manualLayout>
                  </c15:layout>
                  <c15:dlblFieldTable/>
                  <c15:showDataLabelsRange val="0"/>
                </c:ext>
                <c:ext xmlns:c16="http://schemas.microsoft.com/office/drawing/2014/chart" uri="{C3380CC4-5D6E-409C-BE32-E72D297353CC}">
                  <c16:uniqueId val="{0000001D-36C0-4E9D-B019-5C3BC8BEF6D4}"/>
                </c:ext>
              </c:extLst>
            </c:dLbl>
            <c:dLbl>
              <c:idx val="22"/>
              <c:layout>
                <c:manualLayout>
                  <c:x val="8.5184837487772391E-4"/>
                  <c:y val="-0.2701347708894884"/>
                </c:manualLayout>
              </c:layout>
              <c:tx>
                <c:rich>
                  <a:bodyPr wrap="square" lIns="38100" tIns="19050" rIns="38100" bIns="19050" anchor="ctr" anchorCtr="0">
                    <a:noAutofit/>
                  </a:bodyPr>
                  <a:lstStyle/>
                  <a:p>
                    <a:pPr algn="ctr">
                      <a:defRPr sz="800" b="0">
                        <a:solidFill>
                          <a:schemeClr val="tx1"/>
                        </a:solidFill>
                      </a:defRPr>
                    </a:pPr>
                    <a:fld id="{1D9FBD81-FFF4-4C5F-92BE-5CBC295F4D52}" type="VALUE">
                      <a:rPr lang="en-US" sz="800" b="0">
                        <a:solidFill>
                          <a:schemeClr val="tx1"/>
                        </a:solidFill>
                      </a:rPr>
                      <a:pPr algn="ctr">
                        <a:defRPr sz="800" b="0">
                          <a:solidFill>
                            <a:schemeClr val="tx1"/>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4.0787066791911804E-2"/>
                      <c:h val="9.2259597041194338E-2"/>
                    </c:manualLayout>
                  </c15:layout>
                  <c15:dlblFieldTable/>
                  <c15:showDataLabelsRange val="0"/>
                </c:ext>
                <c:ext xmlns:c16="http://schemas.microsoft.com/office/drawing/2014/chart" uri="{C3380CC4-5D6E-409C-BE32-E72D297353CC}">
                  <c16:uniqueId val="{0000001E-36C0-4E9D-B019-5C3BC8BEF6D4}"/>
                </c:ext>
              </c:extLst>
            </c:dLbl>
            <c:spPr>
              <a:noFill/>
              <a:ln>
                <a:noFill/>
              </a:ln>
              <a:effectLst/>
            </c:spPr>
            <c:txPr>
              <a:bodyPr wrap="square" lIns="38100" tIns="19050" rIns="38100" bIns="19050" anchor="ctr">
                <a:spAutoFit/>
              </a:bodyPr>
              <a:lstStyle/>
              <a:p>
                <a:pPr>
                  <a:defRPr sz="800" b="0">
                    <a:solidFill>
                      <a:schemeClr val="tx1"/>
                    </a:solidFil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Sheet1!$A$4:$A$10</c:f>
              <c:strCache>
                <c:ptCount val="7"/>
                <c:pt idx="0">
                  <c:v>2018</c:v>
                </c:pt>
                <c:pt idx="1">
                  <c:v>2019</c:v>
                </c:pt>
                <c:pt idx="2">
                  <c:v>Q1.20</c:v>
                </c:pt>
                <c:pt idx="3">
                  <c:v>Q2.20</c:v>
                </c:pt>
                <c:pt idx="4">
                  <c:v>Q3.20</c:v>
                </c:pt>
                <c:pt idx="5">
                  <c:v>Q4.20</c:v>
                </c:pt>
                <c:pt idx="6">
                  <c:v>2020</c:v>
                </c:pt>
              </c:strCache>
            </c:strRef>
          </c:cat>
          <c:val>
            <c:numRef>
              <c:f>Sheet1!$C$4:$C$10</c:f>
              <c:numCache>
                <c:formatCode>#,##0.0</c:formatCode>
                <c:ptCount val="7"/>
                <c:pt idx="0">
                  <c:v>2</c:v>
                </c:pt>
                <c:pt idx="1">
                  <c:v>2.5</c:v>
                </c:pt>
                <c:pt idx="2">
                  <c:v>0.6</c:v>
                </c:pt>
                <c:pt idx="3">
                  <c:v>0.6</c:v>
                </c:pt>
                <c:pt idx="4">
                  <c:v>1.1000000000000001</c:v>
                </c:pt>
                <c:pt idx="5">
                  <c:v>2.8</c:v>
                </c:pt>
                <c:pt idx="6">
                  <c:v>5.0999999999999996</c:v>
                </c:pt>
              </c:numCache>
            </c:numRef>
          </c:val>
          <c:extLst>
            <c:ext xmlns:c16="http://schemas.microsoft.com/office/drawing/2014/chart" uri="{C3380CC4-5D6E-409C-BE32-E72D297353CC}">
              <c16:uniqueId val="{0000001F-36C0-4E9D-B019-5C3BC8BEF6D4}"/>
            </c:ext>
          </c:extLst>
        </c:ser>
        <c:ser>
          <c:idx val="2"/>
          <c:order val="2"/>
          <c:tx>
            <c:strRef>
              <c:f>Sheet1!$D$3</c:f>
              <c:strCache>
                <c:ptCount val="1"/>
                <c:pt idx="0">
                  <c:v>Total</c:v>
                </c:pt>
              </c:strCache>
            </c:strRef>
          </c:tx>
          <c:spPr>
            <a:noFill/>
            <a:ln>
              <a:noFill/>
            </a:ln>
            <a:effectLst/>
          </c:spPr>
          <c:invertIfNegative val="0"/>
          <c:cat>
            <c:strRef>
              <c:f>Sheet1!$A$4:$A$10</c:f>
              <c:strCache>
                <c:ptCount val="7"/>
                <c:pt idx="0">
                  <c:v>2018</c:v>
                </c:pt>
                <c:pt idx="1">
                  <c:v>2019</c:v>
                </c:pt>
                <c:pt idx="2">
                  <c:v>Q1.20</c:v>
                </c:pt>
                <c:pt idx="3">
                  <c:v>Q2.20</c:v>
                </c:pt>
                <c:pt idx="4">
                  <c:v>Q3.20</c:v>
                </c:pt>
                <c:pt idx="5">
                  <c:v>Q4.20</c:v>
                </c:pt>
                <c:pt idx="6">
                  <c:v>2020</c:v>
                </c:pt>
              </c:strCache>
            </c:strRef>
          </c:cat>
          <c:val>
            <c:numRef>
              <c:f>Sheet1!$D$4:$D$10</c:f>
              <c:numCache>
                <c:formatCode>#,##0.0</c:formatCode>
                <c:ptCount val="7"/>
                <c:pt idx="0">
                  <c:v>2</c:v>
                </c:pt>
                <c:pt idx="1">
                  <c:v>2.5</c:v>
                </c:pt>
                <c:pt idx="2">
                  <c:v>0.6</c:v>
                </c:pt>
                <c:pt idx="3">
                  <c:v>1.2</c:v>
                </c:pt>
                <c:pt idx="4">
                  <c:v>2.2999999999999998</c:v>
                </c:pt>
                <c:pt idx="5">
                  <c:v>5.0999999999999996</c:v>
                </c:pt>
                <c:pt idx="6">
                  <c:v>5.0999999999999996</c:v>
                </c:pt>
              </c:numCache>
            </c:numRef>
          </c:val>
          <c:extLst>
            <c:ext xmlns:c16="http://schemas.microsoft.com/office/drawing/2014/chart" uri="{C3380CC4-5D6E-409C-BE32-E72D297353CC}">
              <c16:uniqueId val="{00000020-36C0-4E9D-B019-5C3BC8BEF6D4}"/>
            </c:ext>
          </c:extLst>
        </c:ser>
        <c:dLbls>
          <c:showLegendKey val="0"/>
          <c:showVal val="0"/>
          <c:showCatName val="0"/>
          <c:showSerName val="0"/>
          <c:showPercent val="0"/>
          <c:showBubbleSize val="0"/>
        </c:dLbls>
        <c:gapWidth val="100"/>
        <c:overlap val="100"/>
        <c:axId val="162327168"/>
        <c:axId val="233181568"/>
      </c:barChart>
      <c:catAx>
        <c:axId val="162327168"/>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Calibri" panose="020F0502020204030204" pitchFamily="34" charset="0"/>
                <a:ea typeface="+mn-ea"/>
                <a:cs typeface="+mn-cs"/>
              </a:defRPr>
            </a:pPr>
            <a:endParaRPr lang="el-GR"/>
          </a:p>
        </c:txPr>
        <c:crossAx val="233181568"/>
        <c:crosses val="autoZero"/>
        <c:auto val="1"/>
        <c:lblAlgn val="ctr"/>
        <c:lblOffset val="100"/>
        <c:noMultiLvlLbl val="0"/>
      </c:catAx>
      <c:valAx>
        <c:axId val="233181568"/>
        <c:scaling>
          <c:orientation val="minMax"/>
          <c:max val="6"/>
          <c:min val="0"/>
        </c:scaling>
        <c:delete val="1"/>
        <c:axPos val="l"/>
        <c:majorGridlines>
          <c:spPr>
            <a:ln w="9525" cap="flat" cmpd="sng" algn="ctr">
              <a:noFill/>
              <a:round/>
            </a:ln>
            <a:effectLst/>
          </c:spPr>
        </c:majorGridlines>
        <c:numFmt formatCode="#,##0.0" sourceLinked="1"/>
        <c:majorTickMark val="out"/>
        <c:minorTickMark val="none"/>
        <c:tickLblPos val="nextTo"/>
        <c:crossAx val="162327168"/>
        <c:crosses val="autoZero"/>
        <c:crossBetween val="between"/>
        <c:majorUnit val="0.1"/>
      </c:valAx>
      <c:spPr>
        <a:noFill/>
        <a:ln>
          <a:noFill/>
        </a:ln>
        <a:effectLst/>
      </c:spPr>
    </c:plotArea>
    <c:plotVisOnly val="1"/>
    <c:dispBlanksAs val="gap"/>
    <c:showDLblsOverMax val="0"/>
  </c:chart>
  <c:spPr>
    <a:noFill/>
    <a:ln>
      <a:noFill/>
    </a:ln>
    <a:effectLst/>
  </c:spPr>
  <c:txPr>
    <a:bodyPr/>
    <a:lstStyle/>
    <a:p>
      <a:pPr>
        <a:defRPr sz="800">
          <a:latin typeface="+mj-lt"/>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661079704876775E-2"/>
          <c:y val="0.15222343972945099"/>
          <c:w val="0.92790407689519605"/>
          <c:h val="0.60620807695838697"/>
        </c:manualLayout>
      </c:layout>
      <c:barChart>
        <c:barDir val="col"/>
        <c:grouping val="stacked"/>
        <c:varyColors val="0"/>
        <c:ser>
          <c:idx val="0"/>
          <c:order val="0"/>
          <c:tx>
            <c:strRef>
              <c:f>Sheet1!$B$3</c:f>
              <c:strCache>
                <c:ptCount val="1"/>
                <c:pt idx="0">
                  <c:v>Base</c:v>
                </c:pt>
              </c:strCache>
            </c:strRef>
          </c:tx>
          <c:spPr>
            <a:noFill/>
            <a:ln>
              <a:noFill/>
            </a:ln>
            <a:effectLst>
              <a:innerShdw blurRad="63500" dist="50800" dir="13500000">
                <a:prstClr val="black">
                  <a:alpha val="50000"/>
                </a:prstClr>
              </a:innerShdw>
            </a:effectLst>
          </c:spPr>
          <c:invertIfNegative val="0"/>
          <c:cat>
            <c:strRef>
              <c:f>Sheet1!$A$4:$A$10</c:f>
              <c:strCache>
                <c:ptCount val="7"/>
                <c:pt idx="0">
                  <c:v>2018</c:v>
                </c:pt>
                <c:pt idx="1">
                  <c:v>2019</c:v>
                </c:pt>
                <c:pt idx="2">
                  <c:v>Q1.20</c:v>
                </c:pt>
                <c:pt idx="3">
                  <c:v>Q2.20</c:v>
                </c:pt>
                <c:pt idx="4">
                  <c:v>Q3.20</c:v>
                </c:pt>
                <c:pt idx="5">
                  <c:v>Q4.20</c:v>
                </c:pt>
                <c:pt idx="6">
                  <c:v>2020</c:v>
                </c:pt>
              </c:strCache>
            </c:strRef>
          </c:cat>
          <c:val>
            <c:numRef>
              <c:f>Sheet1!$B$4:$B$10</c:f>
              <c:numCache>
                <c:formatCode>#,##0.0</c:formatCode>
                <c:ptCount val="7"/>
                <c:pt idx="0">
                  <c:v>0</c:v>
                </c:pt>
                <c:pt idx="1">
                  <c:v>0</c:v>
                </c:pt>
                <c:pt idx="2">
                  <c:v>0</c:v>
                </c:pt>
                <c:pt idx="3">
                  <c:v>1</c:v>
                </c:pt>
                <c:pt idx="4">
                  <c:v>2.5</c:v>
                </c:pt>
                <c:pt idx="5">
                  <c:v>4.5</c:v>
                </c:pt>
                <c:pt idx="6">
                  <c:v>0</c:v>
                </c:pt>
              </c:numCache>
            </c:numRef>
          </c:val>
          <c:extLst>
            <c:ext xmlns:c16="http://schemas.microsoft.com/office/drawing/2014/chart" uri="{C3380CC4-5D6E-409C-BE32-E72D297353CC}">
              <c16:uniqueId val="{00000000-43AF-41D0-BA91-DCDE2DC0A773}"/>
            </c:ext>
          </c:extLst>
        </c:ser>
        <c:ser>
          <c:idx val="1"/>
          <c:order val="1"/>
          <c:tx>
            <c:strRef>
              <c:f>Sheet1!$C$3</c:f>
              <c:strCache>
                <c:ptCount val="1"/>
                <c:pt idx="0">
                  <c:v>Value</c:v>
                </c:pt>
              </c:strCache>
            </c:strRef>
          </c:tx>
          <c:spPr>
            <a:solidFill>
              <a:srgbClr val="002060"/>
            </a:solidFill>
            <a:ln>
              <a:noFill/>
            </a:ln>
            <a:effectLst/>
          </c:spPr>
          <c:invertIfNegative val="0"/>
          <c:dPt>
            <c:idx val="0"/>
            <c:invertIfNegative val="0"/>
            <c:bubble3D val="0"/>
            <c:spPr>
              <a:solidFill>
                <a:srgbClr val="6691AB"/>
              </a:solidFill>
              <a:ln>
                <a:noFill/>
              </a:ln>
              <a:effectLst/>
            </c:spPr>
            <c:extLst>
              <c:ext xmlns:c16="http://schemas.microsoft.com/office/drawing/2014/chart" uri="{C3380CC4-5D6E-409C-BE32-E72D297353CC}">
                <c16:uniqueId val="{00000002-43AF-41D0-BA91-DCDE2DC0A773}"/>
              </c:ext>
            </c:extLst>
          </c:dPt>
          <c:dPt>
            <c:idx val="1"/>
            <c:invertIfNegative val="0"/>
            <c:bubble3D val="0"/>
            <c:spPr>
              <a:solidFill>
                <a:srgbClr val="6691AB"/>
              </a:solidFill>
              <a:ln>
                <a:noFill/>
              </a:ln>
              <a:effectLst/>
            </c:spPr>
            <c:extLst>
              <c:ext xmlns:c16="http://schemas.microsoft.com/office/drawing/2014/chart" uri="{C3380CC4-5D6E-409C-BE32-E72D297353CC}">
                <c16:uniqueId val="{00000004-43AF-41D0-BA91-DCDE2DC0A773}"/>
              </c:ext>
            </c:extLst>
          </c:dPt>
          <c:dPt>
            <c:idx val="2"/>
            <c:invertIfNegative val="0"/>
            <c:bubble3D val="0"/>
            <c:spPr>
              <a:solidFill>
                <a:srgbClr val="FFC000"/>
              </a:solidFill>
              <a:ln>
                <a:noFill/>
              </a:ln>
              <a:effectLst/>
            </c:spPr>
            <c:extLst>
              <c:ext xmlns:c16="http://schemas.microsoft.com/office/drawing/2014/chart" uri="{C3380CC4-5D6E-409C-BE32-E72D297353CC}">
                <c16:uniqueId val="{00000006-43AF-41D0-BA91-DCDE2DC0A773}"/>
              </c:ext>
            </c:extLst>
          </c:dPt>
          <c:dPt>
            <c:idx val="3"/>
            <c:invertIfNegative val="0"/>
            <c:bubble3D val="0"/>
            <c:spPr>
              <a:solidFill>
                <a:srgbClr val="FFC000"/>
              </a:solidFill>
              <a:ln>
                <a:noFill/>
              </a:ln>
              <a:effectLst/>
            </c:spPr>
            <c:extLst>
              <c:ext xmlns:c16="http://schemas.microsoft.com/office/drawing/2014/chart" uri="{C3380CC4-5D6E-409C-BE32-E72D297353CC}">
                <c16:uniqueId val="{00000008-43AF-41D0-BA91-DCDE2DC0A773}"/>
              </c:ext>
            </c:extLst>
          </c:dPt>
          <c:dPt>
            <c:idx val="4"/>
            <c:invertIfNegative val="0"/>
            <c:bubble3D val="0"/>
            <c:spPr>
              <a:solidFill>
                <a:srgbClr val="FFC000"/>
              </a:solidFill>
              <a:ln>
                <a:solidFill>
                  <a:schemeClr val="tx2"/>
                </a:solidFill>
              </a:ln>
              <a:effectLst/>
            </c:spPr>
            <c:extLst>
              <c:ext xmlns:c16="http://schemas.microsoft.com/office/drawing/2014/chart" uri="{C3380CC4-5D6E-409C-BE32-E72D297353CC}">
                <c16:uniqueId val="{0000000A-43AF-41D0-BA91-DCDE2DC0A773}"/>
              </c:ext>
            </c:extLst>
          </c:dPt>
          <c:dPt>
            <c:idx val="5"/>
            <c:invertIfNegative val="0"/>
            <c:bubble3D val="0"/>
            <c:spPr>
              <a:solidFill>
                <a:srgbClr val="FFC000"/>
              </a:solidFill>
              <a:ln>
                <a:noFill/>
              </a:ln>
              <a:effectLst/>
            </c:spPr>
            <c:extLst>
              <c:ext xmlns:c16="http://schemas.microsoft.com/office/drawing/2014/chart" uri="{C3380CC4-5D6E-409C-BE32-E72D297353CC}">
                <c16:uniqueId val="{0000000C-43AF-41D0-BA91-DCDE2DC0A773}"/>
              </c:ext>
            </c:extLst>
          </c:dPt>
          <c:dPt>
            <c:idx val="6"/>
            <c:invertIfNegative val="0"/>
            <c:bubble3D val="0"/>
            <c:spPr>
              <a:solidFill>
                <a:srgbClr val="6691AB"/>
              </a:solidFill>
              <a:ln w="6350">
                <a:noFill/>
              </a:ln>
              <a:effectLst/>
            </c:spPr>
            <c:extLst>
              <c:ext xmlns:c16="http://schemas.microsoft.com/office/drawing/2014/chart" uri="{C3380CC4-5D6E-409C-BE32-E72D297353CC}">
                <c16:uniqueId val="{0000000E-43AF-41D0-BA91-DCDE2DC0A773}"/>
              </c:ext>
            </c:extLst>
          </c:dPt>
          <c:dLbls>
            <c:dLbl>
              <c:idx val="0"/>
              <c:layout>
                <c:manualLayout>
                  <c:x val="2.0031034735837703E-3"/>
                  <c:y val="-0.21628072831007031"/>
                </c:manualLayout>
              </c:layout>
              <c:spPr>
                <a:noFill/>
                <a:ln>
                  <a:noFill/>
                </a:ln>
                <a:effectLst/>
              </c:spPr>
              <c:txPr>
                <a:bodyPr wrap="square" lIns="38100" tIns="19050" rIns="38100" bIns="19050" anchor="ctr">
                  <a:spAutoFit/>
                </a:bodyPr>
                <a:lstStyle/>
                <a:p>
                  <a:pPr>
                    <a:defRPr sz="800" b="0">
                      <a:solidFill>
                        <a:schemeClr val="tx1"/>
                      </a:solidFil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3AF-41D0-BA91-DCDE2DC0A773}"/>
                </c:ext>
              </c:extLst>
            </c:dLbl>
            <c:dLbl>
              <c:idx val="1"/>
              <c:layout>
                <c:manualLayout>
                  <c:x val="0"/>
                  <c:y val="-0.24871919891714095"/>
                </c:manualLayout>
              </c:layout>
              <c:tx>
                <c:rich>
                  <a:bodyPr wrap="square" lIns="38100" tIns="19050" rIns="38100" bIns="19050" anchor="ctr">
                    <a:spAutoFit/>
                  </a:bodyPr>
                  <a:lstStyle/>
                  <a:p>
                    <a:pPr>
                      <a:defRPr sz="800" b="0" strike="noStrike">
                        <a:solidFill>
                          <a:schemeClr val="tx1"/>
                        </a:solidFill>
                      </a:defRPr>
                    </a:pPr>
                    <a:fld id="{96BCD2CE-824D-4938-B58B-F1452BF8B07D}" type="VALUE">
                      <a:rPr lang="en-US" sz="800" b="0" strike="noStrike" smtClean="0">
                        <a:solidFill>
                          <a:schemeClr val="tx1"/>
                        </a:solidFill>
                      </a:rPr>
                      <a:pPr>
                        <a:defRPr sz="800" b="0" strike="noStrike">
                          <a:solidFill>
                            <a:schemeClr val="tx1"/>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43AF-41D0-BA91-DCDE2DC0A773}"/>
                </c:ext>
              </c:extLst>
            </c:dLbl>
            <c:dLbl>
              <c:idx val="2"/>
              <c:layout>
                <c:manualLayout>
                  <c:x val="9.8131625024901227E-3"/>
                  <c:y val="-0.12391677703872989"/>
                </c:manualLayout>
              </c:layout>
              <c:tx>
                <c:rich>
                  <a:bodyPr wrap="square" lIns="38100" tIns="19050" rIns="38100" bIns="19050" anchor="ctr">
                    <a:spAutoFit/>
                  </a:bodyPr>
                  <a:lstStyle/>
                  <a:p>
                    <a:pPr>
                      <a:defRPr sz="800" b="0">
                        <a:solidFill>
                          <a:srgbClr val="002060"/>
                        </a:solidFill>
                      </a:defRPr>
                    </a:pPr>
                    <a:fld id="{6F16FD5B-AA36-42EC-B91D-46C0E1253ABD}" type="VALUE">
                      <a:rPr lang="en-US" b="0" smtClean="0">
                        <a:solidFill>
                          <a:srgbClr val="002060"/>
                        </a:solidFill>
                      </a:rPr>
                      <a:pPr>
                        <a:defRPr sz="800" b="0">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43AF-41D0-BA91-DCDE2DC0A773}"/>
                </c:ext>
              </c:extLst>
            </c:dLbl>
            <c:dLbl>
              <c:idx val="3"/>
              <c:layout>
                <c:manualLayout>
                  <c:x val="-3.5024167252064088E-3"/>
                  <c:y val="-0.15570975300915477"/>
                </c:manualLayout>
              </c:layout>
              <c:tx>
                <c:rich>
                  <a:bodyPr wrap="square" lIns="38100" tIns="19050" rIns="38100" bIns="19050" anchor="ctr">
                    <a:spAutoFit/>
                  </a:bodyPr>
                  <a:lstStyle/>
                  <a:p>
                    <a:pPr>
                      <a:defRPr sz="800" b="0">
                        <a:solidFill>
                          <a:srgbClr val="002060"/>
                        </a:solidFill>
                      </a:defRPr>
                    </a:pPr>
                    <a:fld id="{50F50371-9409-4275-9F2F-44792D5EC982}" type="VALUE">
                      <a:rPr lang="en-US" b="0" smtClean="0">
                        <a:solidFill>
                          <a:srgbClr val="002060"/>
                        </a:solidFill>
                      </a:rPr>
                      <a:pPr>
                        <a:defRPr sz="800" b="0">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43AF-41D0-BA91-DCDE2DC0A773}"/>
                </c:ext>
              </c:extLst>
            </c:dLbl>
            <c:dLbl>
              <c:idx val="4"/>
              <c:layout>
                <c:manualLayout>
                  <c:x val="6.0716944336684821E-3"/>
                  <c:y val="-0.1557548721382101"/>
                </c:manualLayout>
              </c:layout>
              <c:tx>
                <c:rich>
                  <a:bodyPr wrap="square" lIns="38100" tIns="19050" rIns="38100" bIns="19050" anchor="ctr">
                    <a:noAutofit/>
                  </a:bodyPr>
                  <a:lstStyle/>
                  <a:p>
                    <a:pPr>
                      <a:defRPr sz="800" b="0">
                        <a:solidFill>
                          <a:srgbClr val="002060"/>
                        </a:solidFill>
                      </a:defRPr>
                    </a:pPr>
                    <a:fld id="{F80775B7-9C0E-472D-952E-E478A056E8D0}" type="VALUE">
                      <a:rPr lang="en-US" sz="800" b="0" smtClean="0">
                        <a:solidFill>
                          <a:srgbClr val="002060"/>
                        </a:solidFill>
                      </a:rPr>
                      <a:pPr>
                        <a:defRPr sz="800" b="0">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3436205793849668"/>
                      <c:h val="0.10811416595106757"/>
                    </c:manualLayout>
                  </c15:layout>
                  <c15:dlblFieldTable/>
                  <c15:showDataLabelsRange val="0"/>
                </c:ext>
                <c:ext xmlns:c16="http://schemas.microsoft.com/office/drawing/2014/chart" uri="{C3380CC4-5D6E-409C-BE32-E72D297353CC}">
                  <c16:uniqueId val="{0000000A-43AF-41D0-BA91-DCDE2DC0A773}"/>
                </c:ext>
              </c:extLst>
            </c:dLbl>
            <c:dLbl>
              <c:idx val="5"/>
              <c:layout>
                <c:manualLayout>
                  <c:x val="0"/>
                  <c:y val="-0.1393751728353734"/>
                </c:manualLayout>
              </c:layout>
              <c:numFmt formatCode="#,##0.0" sourceLinked="0"/>
              <c:spPr>
                <a:noFill/>
                <a:ln>
                  <a:noFill/>
                </a:ln>
                <a:effectLst/>
              </c:spPr>
              <c:txPr>
                <a:bodyPr wrap="square" lIns="38100" tIns="19050" rIns="38100" bIns="19050" anchor="ctr">
                  <a:spAutoFit/>
                </a:bodyPr>
                <a:lstStyle/>
                <a:p>
                  <a:pPr>
                    <a:defRPr sz="800" b="0">
                      <a:solidFill>
                        <a:srgbClr val="002060"/>
                      </a:solidFil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3AF-41D0-BA91-DCDE2DC0A773}"/>
                </c:ext>
              </c:extLst>
            </c:dLbl>
            <c:dLbl>
              <c:idx val="6"/>
              <c:layout>
                <c:manualLayout>
                  <c:x val="-1.2205806622868701E-16"/>
                  <c:y val="-0.37092217677965855"/>
                </c:manualLayout>
              </c:layout>
              <c:tx>
                <c:rich>
                  <a:bodyPr wrap="square" lIns="38100" tIns="19050" rIns="38100" bIns="19050" anchor="ctr">
                    <a:spAutoFit/>
                  </a:bodyPr>
                  <a:lstStyle/>
                  <a:p>
                    <a:pPr>
                      <a:defRPr sz="800" b="1">
                        <a:solidFill>
                          <a:srgbClr val="002060"/>
                        </a:solidFill>
                      </a:defRPr>
                    </a:pPr>
                    <a:fld id="{51AAF8A2-BE80-43CD-8F75-426AD9B2DB42}" type="VALUE">
                      <a:rPr lang="en-US" smtClean="0">
                        <a:solidFill>
                          <a:srgbClr val="002060"/>
                        </a:solidFill>
                      </a:rPr>
                      <a:pPr>
                        <a:defRPr sz="800" b="1">
                          <a:solidFill>
                            <a:srgbClr val="002060"/>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43AF-41D0-BA91-DCDE2DC0A773}"/>
                </c:ext>
              </c:extLst>
            </c:dLbl>
            <c:dLbl>
              <c:idx val="7"/>
              <c:layout>
                <c:manualLayout>
                  <c:x val="1.3789835732718856E-7"/>
                  <c:y val="-3.406269615626039E-2"/>
                </c:manualLayout>
              </c:layout>
              <c:tx>
                <c:rich>
                  <a:bodyPr wrap="square" lIns="38100" tIns="19050" rIns="38100" bIns="19050" anchor="ctr">
                    <a:noAutofit/>
                  </a:bodyPr>
                  <a:lstStyle/>
                  <a:p>
                    <a:pPr>
                      <a:defRPr sz="800" b="1">
                        <a:solidFill>
                          <a:schemeClr val="tx1"/>
                        </a:solidFill>
                      </a:defRPr>
                    </a:pPr>
                    <a:r>
                      <a:rPr lang="en-US" sz="800" b="1" dirty="0">
                        <a:solidFill>
                          <a:schemeClr val="tx1"/>
                        </a:solidFill>
                      </a:rPr>
                      <a:t>+</a:t>
                    </a:r>
                    <a:fld id="{8ECA1770-2F3F-42F5-892C-61D4E3F22974}" type="VALUE">
                      <a:rPr lang="en-US" sz="800" b="1" smtClean="0">
                        <a:solidFill>
                          <a:schemeClr val="tx1"/>
                        </a:solidFill>
                      </a:rPr>
                      <a:pPr>
                        <a:defRPr sz="800" b="1">
                          <a:solidFill>
                            <a:schemeClr val="tx1"/>
                          </a:solidFill>
                        </a:defRPr>
                      </a:pPr>
                      <a:t>[VALUE]</a:t>
                    </a:fld>
                    <a:endParaRPr lang="en-US" sz="800" b="1" dirty="0">
                      <a:solidFill>
                        <a:schemeClr val="tx1"/>
                      </a:solidFill>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7.8212350686180057E-2"/>
                      <c:h val="6.5807242665495924E-2"/>
                    </c:manualLayout>
                  </c15:layout>
                  <c15:dlblFieldTable/>
                  <c15:showDataLabelsRange val="0"/>
                </c:ext>
                <c:ext xmlns:c16="http://schemas.microsoft.com/office/drawing/2014/chart" uri="{C3380CC4-5D6E-409C-BE32-E72D297353CC}">
                  <c16:uniqueId val="{0000000F-43AF-41D0-BA91-DCDE2DC0A773}"/>
                </c:ext>
              </c:extLst>
            </c:dLbl>
            <c:dLbl>
              <c:idx val="8"/>
              <c:layout>
                <c:manualLayout>
                  <c:x val="-2.8591845408219236E-3"/>
                  <c:y val="-5.4200297849819869E-2"/>
                </c:manualLayout>
              </c:layout>
              <c:tx>
                <c:rich>
                  <a:bodyPr/>
                  <a:lstStyle/>
                  <a:p>
                    <a:r>
                      <a:rPr lang="en-US" sz="800" b="1" dirty="0">
                        <a:solidFill>
                          <a:schemeClr val="tx1"/>
                        </a:solidFill>
                      </a:rPr>
                      <a:t>+</a:t>
                    </a:r>
                    <a:fld id="{B62102F7-5E17-4C8B-B1FE-2FB696017A63}" type="VALUE">
                      <a:rPr lang="en-US" sz="800" b="1" smtClean="0">
                        <a:solidFill>
                          <a:schemeClr val="tx1"/>
                        </a:solidFill>
                      </a:rPr>
                      <a:pPr/>
                      <a:t>[VALUE]</a:t>
                    </a:fld>
                    <a:endParaRPr lang="en-US" sz="800"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layout>
                    <c:manualLayout>
                      <c:w val="8.0785546266415764E-2"/>
                      <c:h val="8.8910878903124962E-2"/>
                    </c:manualLayout>
                  </c15:layout>
                  <c15:dlblFieldTable/>
                  <c15:showDataLabelsRange val="0"/>
                </c:ext>
                <c:ext xmlns:c16="http://schemas.microsoft.com/office/drawing/2014/chart" uri="{C3380CC4-5D6E-409C-BE32-E72D297353CC}">
                  <c16:uniqueId val="{00000010-43AF-41D0-BA91-DCDE2DC0A773}"/>
                </c:ext>
              </c:extLst>
            </c:dLbl>
            <c:dLbl>
              <c:idx val="9"/>
              <c:layout>
                <c:manualLayout>
                  <c:x val="-7.3086374473985916E-5"/>
                  <c:y val="-5.8186065154761234E-2"/>
                </c:manualLayout>
              </c:layout>
              <c:tx>
                <c:rich>
                  <a:bodyPr wrap="square" lIns="38100" tIns="19050" rIns="38100" bIns="19050" anchor="ctr">
                    <a:spAutoFit/>
                  </a:bodyPr>
                  <a:lstStyle/>
                  <a:p>
                    <a:pPr>
                      <a:defRPr sz="800" b="1">
                        <a:solidFill>
                          <a:schemeClr val="tx1"/>
                        </a:solidFill>
                      </a:defRPr>
                    </a:pPr>
                    <a:r>
                      <a:rPr lang="en-US" sz="800" b="1" dirty="0">
                        <a:solidFill>
                          <a:schemeClr val="tx1"/>
                        </a:solidFill>
                      </a:rPr>
                      <a:t>+</a:t>
                    </a:r>
                    <a:fld id="{CAFD8BFC-0DE0-4924-8C65-C94BDDE8A294}" type="VALUE">
                      <a:rPr lang="en-US" sz="800" b="1" smtClean="0">
                        <a:solidFill>
                          <a:schemeClr val="tx1"/>
                        </a:solidFill>
                      </a:rPr>
                      <a:pPr>
                        <a:defRPr sz="800" b="1">
                          <a:solidFill>
                            <a:schemeClr val="tx1"/>
                          </a:solidFill>
                        </a:defRPr>
                      </a:pPr>
                      <a:t>[VALUE]</a:t>
                    </a:fld>
                    <a:endParaRPr lang="en-US" sz="800" b="1" dirty="0">
                      <a:solidFill>
                        <a:schemeClr val="tx1"/>
                      </a:solidFill>
                    </a:endParaRPr>
                  </a:p>
                </c:rich>
              </c:tx>
              <c:numFmt formatCode="#,##0.0" sourceLinked="0"/>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43AF-41D0-BA91-DCDE2DC0A773}"/>
                </c:ext>
              </c:extLst>
            </c:dLbl>
            <c:dLbl>
              <c:idx val="10"/>
              <c:layout>
                <c:manualLayout>
                  <c:x val="8.3407260181213229E-4"/>
                  <c:y val="-0.248258070868564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3AF-41D0-BA91-DCDE2DC0A773}"/>
                </c:ext>
              </c:extLst>
            </c:dLbl>
            <c:dLbl>
              <c:idx val="11"/>
              <c:layout>
                <c:manualLayout>
                  <c:x val="-3.7375520387905015E-3"/>
                  <c:y val="-4.3018903164110694E-2"/>
                </c:manualLayout>
              </c:layout>
              <c:tx>
                <c:rich>
                  <a:bodyPr/>
                  <a:lstStyle/>
                  <a:p>
                    <a:r>
                      <a:rPr lang="en-US" dirty="0"/>
                      <a:t>+</a:t>
                    </a:r>
                    <a:fld id="{C0BBF676-306B-41EE-B67B-8CB6544E154A}"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43AF-41D0-BA91-DCDE2DC0A773}"/>
                </c:ext>
              </c:extLst>
            </c:dLbl>
            <c:dLbl>
              <c:idx val="12"/>
              <c:layout>
                <c:manualLayout>
                  <c:x val="3.3246151556871764E-4"/>
                  <c:y val="-5.002793880540083E-2"/>
                </c:manualLayout>
              </c:layout>
              <c:tx>
                <c:rich>
                  <a:bodyPr/>
                  <a:lstStyle/>
                  <a:p>
                    <a:r>
                      <a:rPr lang="en-US" sz="800" b="1" dirty="0">
                        <a:solidFill>
                          <a:schemeClr val="tx1"/>
                        </a:solidFill>
                      </a:rPr>
                      <a:t>+</a:t>
                    </a:r>
                    <a:fld id="{1B45FE49-35A9-467C-A0E8-2F87C18A681B}" type="VALUE">
                      <a:rPr lang="en-US" sz="800" b="1" smtClean="0">
                        <a:solidFill>
                          <a:schemeClr val="tx1"/>
                        </a:solidFill>
                      </a:rPr>
                      <a:pPr/>
                      <a:t>[VALUE]</a:t>
                    </a:fld>
                    <a:endParaRPr lang="en-US" sz="800"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43AF-41D0-BA91-DCDE2DC0A773}"/>
                </c:ext>
              </c:extLst>
            </c:dLbl>
            <c:dLbl>
              <c:idx val="13"/>
              <c:layout>
                <c:manualLayout>
                  <c:x val="1.6253358438825575E-3"/>
                  <c:y val="-4.8002067717756627E-2"/>
                </c:manualLayout>
              </c:layout>
              <c:tx>
                <c:rich>
                  <a:bodyPr/>
                  <a:lstStyle/>
                  <a:p>
                    <a:r>
                      <a:rPr lang="en-US" sz="800" b="1" dirty="0">
                        <a:solidFill>
                          <a:schemeClr val="tx1"/>
                        </a:solidFill>
                      </a:rPr>
                      <a:t>+</a:t>
                    </a:r>
                    <a:fld id="{DB28ADC0-13B2-45A0-AEB5-6A859428BF7A}" type="VALUE">
                      <a:rPr lang="en-US" sz="800" b="1" smtClean="0">
                        <a:solidFill>
                          <a:schemeClr val="tx1"/>
                        </a:solidFill>
                      </a:rPr>
                      <a:pPr/>
                      <a:t>[VALUE]</a:t>
                    </a:fld>
                    <a:endParaRPr lang="en-US" sz="800"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43AF-41D0-BA91-DCDE2DC0A773}"/>
                </c:ext>
              </c:extLst>
            </c:dLbl>
            <c:dLbl>
              <c:idx val="14"/>
              <c:layout>
                <c:manualLayout>
                  <c:x val="-3.110333901514391E-4"/>
                  <c:y val="-4.2053440657731318E-2"/>
                </c:manualLayout>
              </c:layout>
              <c:tx>
                <c:rich>
                  <a:bodyPr/>
                  <a:lstStyle/>
                  <a:p>
                    <a:r>
                      <a:rPr lang="en-US" sz="800" b="0" i="0" u="none" strike="noStrike" kern="1200" baseline="0" dirty="0">
                        <a:solidFill>
                          <a:schemeClr val="tx1"/>
                        </a:solidFill>
                        <a:latin typeface="+mj-lt"/>
                        <a:ea typeface="+mn-ea"/>
                        <a:cs typeface="+mn-cs"/>
                      </a:rPr>
                      <a:t>+</a:t>
                    </a:r>
                    <a:fld id="{538F8BED-6CBF-43E9-95F5-C3A5F330FBC9}" type="VALUE">
                      <a:rPr lang="en-US" sz="800" b="0" i="0" u="none" strike="noStrike" kern="1200" baseline="0" smtClean="0">
                        <a:solidFill>
                          <a:schemeClr val="tx1"/>
                        </a:solidFill>
                        <a:latin typeface="+mj-lt"/>
                        <a:ea typeface="+mn-ea"/>
                        <a:cs typeface="+mn-cs"/>
                      </a:rPr>
                      <a:pPr/>
                      <a:t>[VALUE]</a:t>
                    </a:fld>
                    <a:endParaRPr lang="en-US" sz="800" b="0" i="0" u="none" strike="noStrike" kern="1200" baseline="0" dirty="0">
                      <a:solidFill>
                        <a:schemeClr val="tx1"/>
                      </a:solidFill>
                      <a:latin typeface="+mj-lt"/>
                      <a:ea typeface="+mn-ea"/>
                      <a:cs typeface="+mn-cs"/>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43AF-41D0-BA91-DCDE2DC0A773}"/>
                </c:ext>
              </c:extLst>
            </c:dLbl>
            <c:dLbl>
              <c:idx val="15"/>
              <c:layout>
                <c:manualLayout>
                  <c:x val="-9.4294921183889194E-5"/>
                  <c:y val="-0.269577717879605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3AF-41D0-BA91-DCDE2DC0A773}"/>
                </c:ext>
              </c:extLst>
            </c:dLbl>
            <c:dLbl>
              <c:idx val="16"/>
              <c:layout>
                <c:manualLayout>
                  <c:x val="-1.7797693755225007E-3"/>
                  <c:y val="3.3148469519624885E-2"/>
                </c:manualLayout>
              </c:layout>
              <c:tx>
                <c:rich>
                  <a:bodyPr/>
                  <a:lstStyle/>
                  <a:p>
                    <a:r>
                      <a:rPr lang="en-US" dirty="0"/>
                      <a:t>-</a:t>
                    </a:r>
                    <a:fld id="{78A118A8-19A8-495C-9CB0-5D57EFED573A}"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43AF-41D0-BA91-DCDE2DC0A773}"/>
                </c:ext>
              </c:extLst>
            </c:dLbl>
            <c:dLbl>
              <c:idx val="17"/>
              <c:layout>
                <c:manualLayout>
                  <c:x val="0"/>
                  <c:y val="-3.5514529409592765E-2"/>
                </c:manualLayout>
              </c:layout>
              <c:tx>
                <c:rich>
                  <a:bodyPr/>
                  <a:lstStyle/>
                  <a:p>
                    <a:r>
                      <a:rPr lang="en-US" sz="800" b="1" i="0" u="none" strike="noStrike" kern="1200" baseline="0" dirty="0">
                        <a:solidFill>
                          <a:schemeClr val="tx1"/>
                        </a:solidFill>
                        <a:latin typeface="+mj-lt"/>
                        <a:ea typeface="+mn-ea"/>
                        <a:cs typeface="+mn-cs"/>
                      </a:rPr>
                      <a:t>+</a:t>
                    </a:r>
                    <a:fld id="{6B3315B9-47DF-48C1-8083-0841C0681CF5}" type="VALUE">
                      <a:rPr lang="en-US" sz="800" b="1" i="0" u="none" strike="noStrike" kern="1200" baseline="0" smtClean="0">
                        <a:solidFill>
                          <a:schemeClr val="tx1"/>
                        </a:solidFill>
                        <a:latin typeface="+mj-lt"/>
                        <a:ea typeface="+mn-ea"/>
                        <a:cs typeface="+mn-cs"/>
                      </a:rPr>
                      <a:pPr/>
                      <a:t>[VALUE]</a:t>
                    </a:fld>
                    <a:endParaRPr lang="en-US" sz="800" b="1" i="0" u="none" strike="noStrike" kern="1200" baseline="0" dirty="0">
                      <a:solidFill>
                        <a:schemeClr val="tx1"/>
                      </a:solidFill>
                      <a:latin typeface="+mj-lt"/>
                      <a:ea typeface="+mn-ea"/>
                      <a:cs typeface="+mn-cs"/>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43AF-41D0-BA91-DCDE2DC0A773}"/>
                </c:ext>
              </c:extLst>
            </c:dLbl>
            <c:dLbl>
              <c:idx val="18"/>
              <c:layout>
                <c:manualLayout>
                  <c:x val="-8.8988468776118705E-4"/>
                  <c:y val="-4.6495833794877477E-2"/>
                </c:manualLayout>
              </c:layout>
              <c:tx>
                <c:rich>
                  <a:bodyPr wrap="square" lIns="38100" tIns="19050" rIns="38100" bIns="19050" anchor="ctr">
                    <a:noAutofit/>
                  </a:bodyPr>
                  <a:lstStyle/>
                  <a:p>
                    <a:pPr>
                      <a:defRPr sz="800" b="1">
                        <a:solidFill>
                          <a:schemeClr val="tx1"/>
                        </a:solidFill>
                      </a:defRPr>
                    </a:pPr>
                    <a:r>
                      <a:rPr lang="en-US" b="1" dirty="0">
                        <a:solidFill>
                          <a:schemeClr val="tx1"/>
                        </a:solidFill>
                      </a:rPr>
                      <a:t>+</a:t>
                    </a:r>
                    <a:fld id="{923CAE52-84B6-4CEA-9DCB-33D5CDBA04C5}" type="VALUE">
                      <a:rPr lang="en-US" b="1" smtClean="0">
                        <a:solidFill>
                          <a:schemeClr val="tx1"/>
                        </a:solidFill>
                      </a:rPr>
                      <a:pPr>
                        <a:defRPr sz="800" b="1">
                          <a:solidFill>
                            <a:schemeClr val="tx1"/>
                          </a:solidFill>
                        </a:defRPr>
                      </a:pPr>
                      <a:t>[VALUE]</a:t>
                    </a:fld>
                    <a:endParaRPr lang="en-US" b="1" dirty="0">
                      <a:solidFill>
                        <a:schemeClr val="tx1"/>
                      </a:solidFill>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4.2945835031354775E-2"/>
                      <c:h val="8.6064320791640503E-2"/>
                    </c:manualLayout>
                  </c15:layout>
                  <c15:dlblFieldTable/>
                  <c15:showDataLabelsRange val="0"/>
                </c:ext>
                <c:ext xmlns:c16="http://schemas.microsoft.com/office/drawing/2014/chart" uri="{C3380CC4-5D6E-409C-BE32-E72D297353CC}">
                  <c16:uniqueId val="{0000001A-43AF-41D0-BA91-DCDE2DC0A773}"/>
                </c:ext>
              </c:extLst>
            </c:dLbl>
            <c:dLbl>
              <c:idx val="19"/>
              <c:layout>
                <c:manualLayout>
                  <c:x val="-1.7959085725332128E-3"/>
                  <c:y val="-5.3532720402712744E-2"/>
                </c:manualLayout>
              </c:layout>
              <c:tx>
                <c:rich>
                  <a:bodyPr/>
                  <a:lstStyle/>
                  <a:p>
                    <a:r>
                      <a:rPr lang="en-US" b="1" dirty="0">
                        <a:solidFill>
                          <a:schemeClr val="tx1"/>
                        </a:solidFill>
                      </a:rPr>
                      <a:t>+</a:t>
                    </a:r>
                    <a:fld id="{C5B24CF9-4DA6-48C9-BC9E-A93ED788770E}" type="VALUE">
                      <a:rPr lang="en-US" b="1" smtClean="0">
                        <a:solidFill>
                          <a:schemeClr val="tx1"/>
                        </a:solidFill>
                      </a:rPr>
                      <a:pPr/>
                      <a:t>[VALUE]</a:t>
                    </a:fld>
                    <a:endParaRPr lang="en-US" b="1" dirty="0">
                      <a:solidFill>
                        <a:schemeClr val="tx1"/>
                      </a:solidFill>
                    </a:endParaRP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43AF-41D0-BA91-DCDE2DC0A773}"/>
                </c:ext>
              </c:extLst>
            </c:dLbl>
            <c:dLbl>
              <c:idx val="20"/>
              <c:layout>
                <c:manualLayout>
                  <c:x val="-1.2933577138460008E-16"/>
                  <c:y val="-0.2744944553163731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3AF-41D0-BA91-DCDE2DC0A773}"/>
                </c:ext>
              </c:extLst>
            </c:dLbl>
            <c:dLbl>
              <c:idx val="21"/>
              <c:layout>
                <c:manualLayout>
                  <c:x val="-2.6455349757777448E-3"/>
                  <c:y val="3.6875284618887616E-2"/>
                </c:manualLayout>
              </c:layout>
              <c:tx>
                <c:rich>
                  <a:bodyPr/>
                  <a:lstStyle/>
                  <a:p>
                    <a:r>
                      <a:rPr lang="en-US" dirty="0"/>
                      <a:t>-</a:t>
                    </a:r>
                    <a:fld id="{03E75786-1EE0-4C2B-82F1-C9CC22BDC022}" type="VALUE">
                      <a:rPr lang="en-US" smtClean="0"/>
                      <a:pPr/>
                      <a:t>[VALUE]</a:t>
                    </a:fld>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manualLayout>
                      <c:w val="3.4489027070835891E-2"/>
                      <c:h val="7.9811936146906404E-2"/>
                    </c:manualLayout>
                  </c15:layout>
                  <c15:dlblFieldTable/>
                  <c15:showDataLabelsRange val="0"/>
                </c:ext>
                <c:ext xmlns:c16="http://schemas.microsoft.com/office/drawing/2014/chart" uri="{C3380CC4-5D6E-409C-BE32-E72D297353CC}">
                  <c16:uniqueId val="{0000001D-43AF-41D0-BA91-DCDE2DC0A773}"/>
                </c:ext>
              </c:extLst>
            </c:dLbl>
            <c:dLbl>
              <c:idx val="22"/>
              <c:layout>
                <c:manualLayout>
                  <c:x val="8.5184837487772391E-4"/>
                  <c:y val="-0.2701347708894884"/>
                </c:manualLayout>
              </c:layout>
              <c:tx>
                <c:rich>
                  <a:bodyPr wrap="square" lIns="38100" tIns="19050" rIns="38100" bIns="19050" anchor="ctr" anchorCtr="0">
                    <a:noAutofit/>
                  </a:bodyPr>
                  <a:lstStyle/>
                  <a:p>
                    <a:pPr algn="ctr">
                      <a:defRPr sz="800" b="1">
                        <a:solidFill>
                          <a:schemeClr val="tx1"/>
                        </a:solidFill>
                      </a:defRPr>
                    </a:pPr>
                    <a:fld id="{1D9FBD81-FFF4-4C5F-92BE-5CBC295F4D52}" type="VALUE">
                      <a:rPr lang="en-US" sz="800" b="1">
                        <a:solidFill>
                          <a:schemeClr val="tx1"/>
                        </a:solidFill>
                      </a:rPr>
                      <a:pPr algn="ctr">
                        <a:defRPr sz="800" b="1">
                          <a:solidFill>
                            <a:schemeClr val="tx1"/>
                          </a:solidFill>
                        </a:defRPr>
                      </a:pPr>
                      <a:t>[VALUE]</a:t>
                    </a:fld>
                    <a:endParaRPr lang="el-G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4.0787066791911804E-2"/>
                      <c:h val="9.2259597041194338E-2"/>
                    </c:manualLayout>
                  </c15:layout>
                  <c15:dlblFieldTable/>
                  <c15:showDataLabelsRange val="0"/>
                </c:ext>
                <c:ext xmlns:c16="http://schemas.microsoft.com/office/drawing/2014/chart" uri="{C3380CC4-5D6E-409C-BE32-E72D297353CC}">
                  <c16:uniqueId val="{0000001E-43AF-41D0-BA91-DCDE2DC0A773}"/>
                </c:ext>
              </c:extLst>
            </c:dLbl>
            <c:spPr>
              <a:noFill/>
              <a:ln>
                <a:noFill/>
              </a:ln>
              <a:effectLst/>
            </c:spPr>
            <c:txPr>
              <a:bodyPr wrap="square" lIns="38100" tIns="19050" rIns="38100" bIns="19050" anchor="ctr">
                <a:spAutoFit/>
              </a:bodyPr>
              <a:lstStyle/>
              <a:p>
                <a:pPr>
                  <a:defRPr sz="800" b="1">
                    <a:solidFill>
                      <a:schemeClr val="tx1"/>
                    </a:solidFil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Sheet1!$A$4:$A$10</c:f>
              <c:strCache>
                <c:ptCount val="7"/>
                <c:pt idx="0">
                  <c:v>2018</c:v>
                </c:pt>
                <c:pt idx="1">
                  <c:v>2019</c:v>
                </c:pt>
                <c:pt idx="2">
                  <c:v>Q1.20</c:v>
                </c:pt>
                <c:pt idx="3">
                  <c:v>Q2.20</c:v>
                </c:pt>
                <c:pt idx="4">
                  <c:v>Q3.20</c:v>
                </c:pt>
                <c:pt idx="5">
                  <c:v>Q4.20</c:v>
                </c:pt>
                <c:pt idx="6">
                  <c:v>2020</c:v>
                </c:pt>
              </c:strCache>
            </c:strRef>
          </c:cat>
          <c:val>
            <c:numRef>
              <c:f>Sheet1!$C$4:$C$10</c:f>
              <c:numCache>
                <c:formatCode>#,##0.0</c:formatCode>
                <c:ptCount val="7"/>
                <c:pt idx="0">
                  <c:v>3.1</c:v>
                </c:pt>
                <c:pt idx="1">
                  <c:v>3.9</c:v>
                </c:pt>
                <c:pt idx="2">
                  <c:v>1</c:v>
                </c:pt>
                <c:pt idx="3">
                  <c:v>1.5</c:v>
                </c:pt>
                <c:pt idx="4">
                  <c:v>2</c:v>
                </c:pt>
                <c:pt idx="5">
                  <c:v>1.8</c:v>
                </c:pt>
                <c:pt idx="6">
                  <c:v>6.3</c:v>
                </c:pt>
              </c:numCache>
            </c:numRef>
          </c:val>
          <c:extLst>
            <c:ext xmlns:c16="http://schemas.microsoft.com/office/drawing/2014/chart" uri="{C3380CC4-5D6E-409C-BE32-E72D297353CC}">
              <c16:uniqueId val="{0000001F-43AF-41D0-BA91-DCDE2DC0A773}"/>
            </c:ext>
          </c:extLst>
        </c:ser>
        <c:ser>
          <c:idx val="2"/>
          <c:order val="2"/>
          <c:tx>
            <c:strRef>
              <c:f>Sheet1!$D$3</c:f>
              <c:strCache>
                <c:ptCount val="1"/>
                <c:pt idx="0">
                  <c:v>Total</c:v>
                </c:pt>
              </c:strCache>
            </c:strRef>
          </c:tx>
          <c:spPr>
            <a:noFill/>
            <a:ln>
              <a:noFill/>
            </a:ln>
            <a:effectLst/>
          </c:spPr>
          <c:invertIfNegative val="0"/>
          <c:cat>
            <c:strRef>
              <c:f>Sheet1!$A$4:$A$10</c:f>
              <c:strCache>
                <c:ptCount val="7"/>
                <c:pt idx="0">
                  <c:v>2018</c:v>
                </c:pt>
                <c:pt idx="1">
                  <c:v>2019</c:v>
                </c:pt>
                <c:pt idx="2">
                  <c:v>Q1.20</c:v>
                </c:pt>
                <c:pt idx="3">
                  <c:v>Q2.20</c:v>
                </c:pt>
                <c:pt idx="4">
                  <c:v>Q3.20</c:v>
                </c:pt>
                <c:pt idx="5">
                  <c:v>Q4.20</c:v>
                </c:pt>
                <c:pt idx="6">
                  <c:v>2020</c:v>
                </c:pt>
              </c:strCache>
            </c:strRef>
          </c:cat>
          <c:val>
            <c:numRef>
              <c:f>Sheet1!$D$4:$D$10</c:f>
              <c:numCache>
                <c:formatCode>#,##0.0</c:formatCode>
                <c:ptCount val="7"/>
                <c:pt idx="0">
                  <c:v>3.1</c:v>
                </c:pt>
                <c:pt idx="1">
                  <c:v>3.9</c:v>
                </c:pt>
                <c:pt idx="2">
                  <c:v>1</c:v>
                </c:pt>
                <c:pt idx="3">
                  <c:v>2.5</c:v>
                </c:pt>
                <c:pt idx="4">
                  <c:v>4.5</c:v>
                </c:pt>
                <c:pt idx="5">
                  <c:v>6.3</c:v>
                </c:pt>
                <c:pt idx="6">
                  <c:v>6.3</c:v>
                </c:pt>
              </c:numCache>
            </c:numRef>
          </c:val>
          <c:extLst>
            <c:ext xmlns:c16="http://schemas.microsoft.com/office/drawing/2014/chart" uri="{C3380CC4-5D6E-409C-BE32-E72D297353CC}">
              <c16:uniqueId val="{00000020-43AF-41D0-BA91-DCDE2DC0A773}"/>
            </c:ext>
          </c:extLst>
        </c:ser>
        <c:dLbls>
          <c:showLegendKey val="0"/>
          <c:showVal val="0"/>
          <c:showCatName val="0"/>
          <c:showSerName val="0"/>
          <c:showPercent val="0"/>
          <c:showBubbleSize val="0"/>
        </c:dLbls>
        <c:gapWidth val="100"/>
        <c:overlap val="100"/>
        <c:axId val="152329216"/>
        <c:axId val="152335104"/>
      </c:barChart>
      <c:catAx>
        <c:axId val="152329216"/>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Calibri" panose="020F0502020204030204" pitchFamily="34" charset="0"/>
                <a:ea typeface="+mn-ea"/>
                <a:cs typeface="+mn-cs"/>
              </a:defRPr>
            </a:pPr>
            <a:endParaRPr lang="el-GR"/>
          </a:p>
        </c:txPr>
        <c:crossAx val="152335104"/>
        <c:crosses val="autoZero"/>
        <c:auto val="1"/>
        <c:lblAlgn val="ctr"/>
        <c:lblOffset val="100"/>
        <c:noMultiLvlLbl val="0"/>
      </c:catAx>
      <c:valAx>
        <c:axId val="152335104"/>
        <c:scaling>
          <c:orientation val="minMax"/>
          <c:max val="7"/>
          <c:min val="0"/>
        </c:scaling>
        <c:delete val="1"/>
        <c:axPos val="l"/>
        <c:majorGridlines>
          <c:spPr>
            <a:ln w="9525" cap="flat" cmpd="sng" algn="ctr">
              <a:noFill/>
              <a:round/>
            </a:ln>
            <a:effectLst/>
          </c:spPr>
        </c:majorGridlines>
        <c:numFmt formatCode="#,##0.0" sourceLinked="1"/>
        <c:majorTickMark val="out"/>
        <c:minorTickMark val="none"/>
        <c:tickLblPos val="nextTo"/>
        <c:crossAx val="152329216"/>
        <c:crosses val="autoZero"/>
        <c:crossBetween val="between"/>
        <c:majorUnit val="1"/>
      </c:valAx>
      <c:spPr>
        <a:noFill/>
        <a:ln>
          <a:noFill/>
        </a:ln>
        <a:effectLst/>
      </c:spPr>
    </c:plotArea>
    <c:plotVisOnly val="1"/>
    <c:dispBlanksAs val="gap"/>
    <c:showDLblsOverMax val="0"/>
  </c:chart>
  <c:spPr>
    <a:noFill/>
    <a:ln>
      <a:noFill/>
    </a:ln>
    <a:effectLst/>
  </c:spPr>
  <c:txPr>
    <a:bodyPr/>
    <a:lstStyle/>
    <a:p>
      <a:pPr>
        <a:defRPr sz="800">
          <a:latin typeface="+mj-lt"/>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41741657292855E-2"/>
          <c:y val="0.22399478171737447"/>
          <c:w val="0.86960996154550585"/>
          <c:h val="0.65082500782076902"/>
        </c:manualLayout>
      </c:layout>
      <c:barChart>
        <c:barDir val="col"/>
        <c:grouping val="clustered"/>
        <c:varyColors val="0"/>
        <c:ser>
          <c:idx val="0"/>
          <c:order val="0"/>
          <c:tx>
            <c:strRef>
              <c:f>Sheet1!$B$1</c:f>
              <c:strCache>
                <c:ptCount val="1"/>
                <c:pt idx="0">
                  <c:v>Series 2</c:v>
                </c:pt>
              </c:strCache>
            </c:strRef>
          </c:tx>
          <c:spPr>
            <a:solidFill>
              <a:srgbClr val="002060"/>
            </a:solidFill>
            <a:ln w="12700">
              <a:noFill/>
              <a:prstDash val="solid"/>
            </a:ln>
            <a:effectLst/>
          </c:spPr>
          <c:invertIfNegative val="0"/>
          <c:dPt>
            <c:idx val="0"/>
            <c:invertIfNegative val="0"/>
            <c:bubble3D val="0"/>
            <c:spPr>
              <a:solidFill>
                <a:srgbClr val="6691AB"/>
              </a:solidFill>
              <a:ln w="12700">
                <a:noFill/>
                <a:prstDash val="solid"/>
              </a:ln>
              <a:effectLst/>
            </c:spPr>
            <c:extLst>
              <c:ext xmlns:c16="http://schemas.microsoft.com/office/drawing/2014/chart" uri="{C3380CC4-5D6E-409C-BE32-E72D297353CC}">
                <c16:uniqueId val="{00000001-EAF0-4D90-9ED0-E56FC178777F}"/>
              </c:ext>
            </c:extLst>
          </c:dPt>
          <c:dPt>
            <c:idx val="1"/>
            <c:invertIfNegative val="0"/>
            <c:bubble3D val="0"/>
            <c:spPr>
              <a:solidFill>
                <a:srgbClr val="6691AB"/>
              </a:solidFill>
              <a:ln w="12700">
                <a:noFill/>
                <a:prstDash val="solid"/>
              </a:ln>
              <a:effectLst/>
            </c:spPr>
            <c:extLst>
              <c:ext xmlns:c16="http://schemas.microsoft.com/office/drawing/2014/chart" uri="{C3380CC4-5D6E-409C-BE32-E72D297353CC}">
                <c16:uniqueId val="{00000003-EAF0-4D90-9ED0-E56FC178777F}"/>
              </c:ext>
            </c:extLst>
          </c:dPt>
          <c:dPt>
            <c:idx val="2"/>
            <c:invertIfNegative val="0"/>
            <c:bubble3D val="0"/>
            <c:spPr>
              <a:solidFill>
                <a:srgbClr val="FFC000"/>
              </a:solidFill>
              <a:ln w="12700">
                <a:noFill/>
                <a:prstDash val="solid"/>
              </a:ln>
              <a:effectLst/>
            </c:spPr>
            <c:extLst>
              <c:ext xmlns:c16="http://schemas.microsoft.com/office/drawing/2014/chart" uri="{C3380CC4-5D6E-409C-BE32-E72D297353CC}">
                <c16:uniqueId val="{00000005-EAF0-4D90-9ED0-E56FC178777F}"/>
              </c:ext>
            </c:extLst>
          </c:dPt>
          <c:dPt>
            <c:idx val="4"/>
            <c:invertIfNegative val="0"/>
            <c:bubble3D val="0"/>
            <c:spPr>
              <a:solidFill>
                <a:srgbClr val="FFC000"/>
              </a:solidFill>
              <a:ln w="12700">
                <a:noFill/>
                <a:prstDash val="solid"/>
              </a:ln>
              <a:effectLst/>
            </c:spPr>
            <c:extLst>
              <c:ext xmlns:c16="http://schemas.microsoft.com/office/drawing/2014/chart" uri="{C3380CC4-5D6E-409C-BE32-E72D297353CC}">
                <c16:uniqueId val="{00000007-EAF0-4D90-9ED0-E56FC178777F}"/>
              </c:ext>
            </c:extLst>
          </c:dPt>
          <c:dPt>
            <c:idx val="6"/>
            <c:invertIfNegative val="0"/>
            <c:bubble3D val="0"/>
            <c:spPr>
              <a:solidFill>
                <a:srgbClr val="FFC000"/>
              </a:solidFill>
              <a:ln w="12700">
                <a:noFill/>
                <a:prstDash val="solid"/>
              </a:ln>
              <a:effectLst/>
            </c:spPr>
            <c:extLst>
              <c:ext xmlns:c16="http://schemas.microsoft.com/office/drawing/2014/chart" uri="{C3380CC4-5D6E-409C-BE32-E72D297353CC}">
                <c16:uniqueId val="{00000009-EAF0-4D90-9ED0-E56FC178777F}"/>
              </c:ext>
            </c:extLst>
          </c:dPt>
          <c:dLbls>
            <c:dLbl>
              <c:idx val="0"/>
              <c:layout>
                <c:manualLayout>
                  <c:x val="5.5664854642173715E-3"/>
                  <c:y val="8.45308537616226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F0-4D90-9ED0-E56FC178777F}"/>
                </c:ext>
              </c:extLst>
            </c:dLbl>
            <c:dLbl>
              <c:idx val="1"/>
              <c:layout>
                <c:manualLayout>
                  <c:x val="-2.8455357422951613E-3"/>
                  <c:y val="-2.1132713440405747E-2"/>
                </c:manualLayout>
              </c:layout>
              <c:numFmt formatCode="#,##0.0" sourceLinked="0"/>
              <c:spPr>
                <a:noFill/>
                <a:ln>
                  <a:noFill/>
                </a:ln>
                <a:effectLst/>
              </c:spPr>
              <c:txPr>
                <a:bodyPr wrap="square" lIns="38100" tIns="19050" rIns="38100" bIns="19050" anchor="ctr">
                  <a:noAutofit/>
                </a:bodyPr>
                <a:lstStyle/>
                <a:p>
                  <a:pPr>
                    <a:defRPr sz="800" b="0">
                      <a:solidFill>
                        <a:sysClr val="windowText" lastClr="000000"/>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layout>
                    <c:manualLayout>
                      <c:w val="0.13096231496959293"/>
                      <c:h val="7.2231947337943705E-2"/>
                    </c:manualLayout>
                  </c15:layout>
                </c:ext>
                <c:ext xmlns:c16="http://schemas.microsoft.com/office/drawing/2014/chart" uri="{C3380CC4-5D6E-409C-BE32-E72D297353CC}">
                  <c16:uniqueId val="{00000003-EAF0-4D90-9ED0-E56FC178777F}"/>
                </c:ext>
              </c:extLst>
            </c:dLbl>
            <c:dLbl>
              <c:idx val="2"/>
              <c:layout>
                <c:manualLayout>
                  <c:x val="2.8459838934475298E-3"/>
                  <c:y val="2.535925612848686E-2"/>
                </c:manualLayout>
              </c:layout>
              <c:numFmt formatCode="#,##0.0" sourceLinked="0"/>
              <c:spPr>
                <a:noFill/>
                <a:ln>
                  <a:noFill/>
                </a:ln>
                <a:effectLst/>
              </c:spPr>
              <c:txPr>
                <a:bodyPr wrap="square" lIns="38100" tIns="19050" rIns="38100" bIns="19050" anchor="ctr">
                  <a:noAutofit/>
                </a:bodyPr>
                <a:lstStyle/>
                <a:p>
                  <a:pPr>
                    <a:defRPr sz="800" b="1">
                      <a:solidFill>
                        <a:srgbClr val="002060"/>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1957927569810743"/>
                      <c:h val="0.11449737421875519"/>
                    </c:manualLayout>
                  </c15:layout>
                </c:ext>
                <c:ext xmlns:c16="http://schemas.microsoft.com/office/drawing/2014/chart" uri="{C3380CC4-5D6E-409C-BE32-E72D297353CC}">
                  <c16:uniqueId val="{00000005-EAF0-4D90-9ED0-E56FC178777F}"/>
                </c:ext>
              </c:extLst>
            </c:dLbl>
            <c:dLbl>
              <c:idx val="3"/>
              <c:layout>
                <c:manualLayout>
                  <c:x val="-1.0434332127233287E-16"/>
                  <c:y val="3.3812341504649179E-2"/>
                </c:manualLayout>
              </c:layout>
              <c:tx>
                <c:rich>
                  <a:bodyPr/>
                  <a:lstStyle/>
                  <a:p>
                    <a:fld id="{D02B203C-E0A9-4D59-B09F-76F52D2B2B7B}" type="VALUE">
                      <a:rPr lang="en-US" b="0">
                        <a:solidFill>
                          <a:sysClr val="windowText" lastClr="000000"/>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AF0-4D90-9ED0-E56FC178777F}"/>
                </c:ext>
              </c:extLst>
            </c:dLbl>
            <c:dLbl>
              <c:idx val="4"/>
              <c:layout>
                <c:manualLayout>
                  <c:x val="0"/>
                  <c:y val="2.5359256128486888E-2"/>
                </c:manualLayout>
              </c:layout>
              <c:tx>
                <c:rich>
                  <a:bodyPr wrap="square" lIns="38100" tIns="19050" rIns="38100" bIns="19050" anchor="ctr">
                    <a:spAutoFit/>
                  </a:bodyPr>
                  <a:lstStyle/>
                  <a:p>
                    <a:pPr>
                      <a:defRPr sz="800" b="0">
                        <a:solidFill>
                          <a:srgbClr val="002060"/>
                        </a:solidFill>
                      </a:defRPr>
                    </a:pPr>
                    <a:fld id="{C8EF18D2-FE44-45C6-AF4A-6412305388EB}" type="VALUE">
                      <a:rPr lang="en-US" sz="800" b="0">
                        <a:solidFill>
                          <a:srgbClr val="002060"/>
                        </a:solidFill>
                      </a:rPr>
                      <a:pPr>
                        <a:defRPr sz="800" b="0">
                          <a:solidFill>
                            <a:srgbClr val="002060"/>
                          </a:solidFill>
                        </a:defRPr>
                      </a:pPr>
                      <a:t>[VALUE]</a:t>
                    </a:fld>
                    <a:endParaRPr lang="el-GR"/>
                  </a:p>
                </c:rich>
              </c:tx>
              <c:numFmt formatCode="#,##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F0-4D90-9ED0-E56FC178777F}"/>
                </c:ext>
              </c:extLst>
            </c:dLbl>
            <c:dLbl>
              <c:idx val="5"/>
              <c:layout>
                <c:manualLayout>
                  <c:x val="5.566379070414706E-3"/>
                  <c:y val="2.5359256128486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AF0-4D90-9ED0-E56FC178777F}"/>
                </c:ext>
              </c:extLst>
            </c:dLbl>
            <c:dLbl>
              <c:idx val="6"/>
              <c:layout>
                <c:manualLayout>
                  <c:x val="5.44145129269191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F0-4D90-9ED0-E56FC178777F}"/>
                </c:ext>
              </c:extLst>
            </c:dLbl>
            <c:dLbl>
              <c:idx val="7"/>
              <c:layout>
                <c:manualLayout>
                  <c:x val="-5.5663790704147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AF0-4D90-9ED0-E56FC178777F}"/>
                </c:ext>
              </c:extLst>
            </c:dLbl>
            <c:dLbl>
              <c:idx val="8"/>
              <c:layout>
                <c:manualLayout>
                  <c:x val="5.566379070414706E-3"/>
                  <c:y val="3.3812341504649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AF0-4D90-9ED0-E56FC178777F}"/>
                </c:ext>
              </c:extLst>
            </c:dLbl>
            <c:numFmt formatCode="#,##0.0" sourceLinked="0"/>
            <c:spPr>
              <a:noFill/>
              <a:ln>
                <a:noFill/>
              </a:ln>
              <a:effectLst/>
            </c:spPr>
            <c:txPr>
              <a:bodyPr wrap="square" lIns="38100" tIns="19050" rIns="38100" bIns="19050" anchor="ctr">
                <a:spAutoFit/>
              </a:bodyPr>
              <a:lstStyle/>
              <a:p>
                <a:pPr>
                  <a:defRPr sz="800" b="0">
                    <a:solidFill>
                      <a:sysClr val="windowText" lastClr="000000"/>
                    </a:solidFill>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3"/>
                <c:pt idx="0">
                  <c:v>2018</c:v>
                </c:pt>
                <c:pt idx="1">
                  <c:v>2019</c:v>
                </c:pt>
                <c:pt idx="2">
                  <c:v>2020</c:v>
                </c:pt>
              </c:numCache>
            </c:numRef>
          </c:cat>
          <c:val>
            <c:numRef>
              <c:f>Sheet1!$B$2:$B$8</c:f>
              <c:numCache>
                <c:formatCode>0.0</c:formatCode>
                <c:ptCount val="3"/>
                <c:pt idx="0">
                  <c:v>26.5</c:v>
                </c:pt>
                <c:pt idx="1">
                  <c:v>23.7</c:v>
                </c:pt>
                <c:pt idx="2">
                  <c:v>21.7</c:v>
                </c:pt>
              </c:numCache>
            </c:numRef>
          </c:val>
          <c:extLst>
            <c:ext xmlns:c16="http://schemas.microsoft.com/office/drawing/2014/chart" uri="{C3380CC4-5D6E-409C-BE32-E72D297353CC}">
              <c16:uniqueId val="{0000000E-EAF0-4D90-9ED0-E56FC178777F}"/>
            </c:ext>
          </c:extLst>
        </c:ser>
        <c:dLbls>
          <c:showLegendKey val="0"/>
          <c:showVal val="1"/>
          <c:showCatName val="0"/>
          <c:showSerName val="0"/>
          <c:showPercent val="0"/>
          <c:showBubbleSize val="0"/>
        </c:dLbls>
        <c:gapWidth val="130"/>
        <c:overlap val="-24"/>
        <c:axId val="318381440"/>
        <c:axId val="318387328"/>
      </c:barChart>
      <c:catAx>
        <c:axId val="318381440"/>
        <c:scaling>
          <c:orientation val="minMax"/>
        </c:scaling>
        <c:delete val="0"/>
        <c:axPos val="b"/>
        <c:numFmt formatCode="General" sourceLinked="1"/>
        <c:majorTickMark val="none"/>
        <c:minorTickMark val="none"/>
        <c:tickLblPos val="nextTo"/>
        <c:spPr>
          <a:ln w="6350">
            <a:solidFill>
              <a:schemeClr val="bg1"/>
            </a:solidFill>
            <a:prstDash val="solid"/>
          </a:ln>
        </c:spPr>
        <c:txPr>
          <a:bodyPr/>
          <a:lstStyle/>
          <a:p>
            <a:pPr algn="ctr">
              <a:defRPr lang="en-GB" sz="700" b="0" i="0" u="none" strike="noStrike" kern="1200" baseline="0">
                <a:solidFill>
                  <a:schemeClr val="tx1">
                    <a:lumMod val="50000"/>
                    <a:lumOff val="50000"/>
                  </a:schemeClr>
                </a:solidFill>
                <a:latin typeface="+mn-lt"/>
                <a:ea typeface="+mn-ea"/>
                <a:cs typeface="+mn-cs"/>
              </a:defRPr>
            </a:pPr>
            <a:endParaRPr lang="el-GR"/>
          </a:p>
        </c:txPr>
        <c:crossAx val="318387328"/>
        <c:crosses val="autoZero"/>
        <c:auto val="1"/>
        <c:lblAlgn val="ctr"/>
        <c:lblOffset val="100"/>
        <c:noMultiLvlLbl val="0"/>
      </c:catAx>
      <c:valAx>
        <c:axId val="318387328"/>
        <c:scaling>
          <c:orientation val="minMax"/>
          <c:max val="35"/>
          <c:min val="0"/>
        </c:scaling>
        <c:delete val="1"/>
        <c:axPos val="l"/>
        <c:numFmt formatCode="0.0" sourceLinked="1"/>
        <c:majorTickMark val="out"/>
        <c:minorTickMark val="none"/>
        <c:tickLblPos val="none"/>
        <c:crossAx val="318381440"/>
        <c:crosses val="autoZero"/>
        <c:crossBetween val="between"/>
      </c:valAx>
      <c:spPr>
        <a:noFill/>
        <a:ln>
          <a:noFill/>
        </a:ln>
      </c:spPr>
    </c:plotArea>
    <c:plotVisOnly val="1"/>
    <c:dispBlanksAs val="gap"/>
    <c:showDLblsOverMax val="0"/>
  </c:chart>
  <c:spPr>
    <a:noFill/>
    <a:ln w="0">
      <a:noFill/>
    </a:ln>
  </c:spPr>
  <c:txPr>
    <a:bodyPr/>
    <a:lstStyle/>
    <a:p>
      <a:pPr>
        <a:defRPr sz="700">
          <a:latin typeface="+mj-lt"/>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566655761655294E-2"/>
          <c:y val="0.15637009870807569"/>
          <c:w val="0.86960996154550585"/>
          <c:h val="0.71844953155690161"/>
        </c:manualLayout>
      </c:layout>
      <c:barChart>
        <c:barDir val="col"/>
        <c:grouping val="clustered"/>
        <c:varyColors val="0"/>
        <c:ser>
          <c:idx val="0"/>
          <c:order val="0"/>
          <c:tx>
            <c:strRef>
              <c:f>Sheet1!$B$1</c:f>
              <c:strCache>
                <c:ptCount val="1"/>
                <c:pt idx="0">
                  <c:v>Series 2</c:v>
                </c:pt>
              </c:strCache>
            </c:strRef>
          </c:tx>
          <c:spPr>
            <a:solidFill>
              <a:srgbClr val="002060"/>
            </a:solidFill>
            <a:ln w="12700">
              <a:noFill/>
              <a:prstDash val="solid"/>
            </a:ln>
            <a:effectLst/>
          </c:spPr>
          <c:invertIfNegative val="0"/>
          <c:dPt>
            <c:idx val="0"/>
            <c:invertIfNegative val="0"/>
            <c:bubble3D val="0"/>
            <c:spPr>
              <a:solidFill>
                <a:srgbClr val="6691AB"/>
              </a:solidFill>
              <a:ln w="12700">
                <a:noFill/>
                <a:prstDash val="solid"/>
              </a:ln>
              <a:effectLst/>
            </c:spPr>
            <c:extLst>
              <c:ext xmlns:c16="http://schemas.microsoft.com/office/drawing/2014/chart" uri="{C3380CC4-5D6E-409C-BE32-E72D297353CC}">
                <c16:uniqueId val="{00000001-6C33-4D57-ADFB-71F4AE544D6E}"/>
              </c:ext>
            </c:extLst>
          </c:dPt>
          <c:dPt>
            <c:idx val="1"/>
            <c:invertIfNegative val="0"/>
            <c:bubble3D val="0"/>
            <c:spPr>
              <a:solidFill>
                <a:srgbClr val="6691AB"/>
              </a:solidFill>
              <a:ln w="12700">
                <a:noFill/>
                <a:prstDash val="solid"/>
              </a:ln>
              <a:effectLst/>
            </c:spPr>
            <c:extLst>
              <c:ext xmlns:c16="http://schemas.microsoft.com/office/drawing/2014/chart" uri="{C3380CC4-5D6E-409C-BE32-E72D297353CC}">
                <c16:uniqueId val="{00000003-6C33-4D57-ADFB-71F4AE544D6E}"/>
              </c:ext>
            </c:extLst>
          </c:dPt>
          <c:dPt>
            <c:idx val="2"/>
            <c:invertIfNegative val="0"/>
            <c:bubble3D val="0"/>
            <c:spPr>
              <a:solidFill>
                <a:srgbClr val="FFC000"/>
              </a:solidFill>
              <a:ln w="12700">
                <a:noFill/>
                <a:prstDash val="solid"/>
              </a:ln>
              <a:effectLst/>
            </c:spPr>
            <c:extLst>
              <c:ext xmlns:c16="http://schemas.microsoft.com/office/drawing/2014/chart" uri="{C3380CC4-5D6E-409C-BE32-E72D297353CC}">
                <c16:uniqueId val="{00000005-6C33-4D57-ADFB-71F4AE544D6E}"/>
              </c:ext>
            </c:extLst>
          </c:dPt>
          <c:dPt>
            <c:idx val="4"/>
            <c:invertIfNegative val="0"/>
            <c:bubble3D val="0"/>
            <c:spPr>
              <a:solidFill>
                <a:srgbClr val="FFC000"/>
              </a:solidFill>
              <a:ln w="12700">
                <a:noFill/>
                <a:prstDash val="solid"/>
              </a:ln>
              <a:effectLst/>
            </c:spPr>
            <c:extLst>
              <c:ext xmlns:c16="http://schemas.microsoft.com/office/drawing/2014/chart" uri="{C3380CC4-5D6E-409C-BE32-E72D297353CC}">
                <c16:uniqueId val="{00000007-6C33-4D57-ADFB-71F4AE544D6E}"/>
              </c:ext>
            </c:extLst>
          </c:dPt>
          <c:dPt>
            <c:idx val="6"/>
            <c:invertIfNegative val="0"/>
            <c:bubble3D val="0"/>
            <c:spPr>
              <a:solidFill>
                <a:srgbClr val="FFC000"/>
              </a:solidFill>
              <a:ln w="12700">
                <a:noFill/>
                <a:prstDash val="solid"/>
              </a:ln>
              <a:effectLst/>
            </c:spPr>
            <c:extLst>
              <c:ext xmlns:c16="http://schemas.microsoft.com/office/drawing/2014/chart" uri="{C3380CC4-5D6E-409C-BE32-E72D297353CC}">
                <c16:uniqueId val="{00000009-6C33-4D57-ADFB-71F4AE544D6E}"/>
              </c:ext>
            </c:extLst>
          </c:dPt>
          <c:dLbls>
            <c:dLbl>
              <c:idx val="0"/>
              <c:layout>
                <c:manualLayout>
                  <c:x val="5.566379070414706E-3"/>
                  <c:y val="2.535925612848688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C33-4D57-ADFB-71F4AE544D6E}"/>
                </c:ext>
              </c:extLst>
            </c:dLbl>
            <c:dLbl>
              <c:idx val="1"/>
              <c:layout>
                <c:manualLayout>
                  <c:x val="-8.5370553780378788E-3"/>
                  <c:y val="2.1132713440405765E-2"/>
                </c:manualLayout>
              </c:layout>
              <c:numFmt formatCode="#,##0.0" sourceLinked="0"/>
              <c:spPr>
                <a:noFill/>
                <a:ln>
                  <a:noFill/>
                </a:ln>
                <a:effectLst/>
              </c:spPr>
              <c:txPr>
                <a:bodyPr wrap="square" lIns="38100" tIns="19050" rIns="38100" bIns="19050" anchor="ctr">
                  <a:noAutofit/>
                </a:bodyPr>
                <a:lstStyle/>
                <a:p>
                  <a:pPr>
                    <a:defRPr sz="800" b="0">
                      <a:solidFill>
                        <a:sysClr val="windowText" lastClr="000000"/>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layout>
                    <c:manualLayout>
                      <c:w val="0.13096231496959293"/>
                      <c:h val="7.2231947337943705E-2"/>
                    </c:manualLayout>
                  </c15:layout>
                </c:ext>
                <c:ext xmlns:c16="http://schemas.microsoft.com/office/drawing/2014/chart" uri="{C3380CC4-5D6E-409C-BE32-E72D297353CC}">
                  <c16:uniqueId val="{00000003-6C33-4D57-ADFB-71F4AE544D6E}"/>
                </c:ext>
              </c:extLst>
            </c:dLbl>
            <c:dLbl>
              <c:idx val="2"/>
              <c:layout>
                <c:manualLayout>
                  <c:x val="-2.8455357422952658E-3"/>
                  <c:y val="8.4530853761623E-3"/>
                </c:manualLayout>
              </c:layout>
              <c:numFmt formatCode="#,##0.0" sourceLinked="0"/>
              <c:spPr>
                <a:noFill/>
                <a:ln>
                  <a:noFill/>
                </a:ln>
                <a:effectLst/>
              </c:spPr>
              <c:txPr>
                <a:bodyPr wrap="square" lIns="38100" tIns="19050" rIns="38100" bIns="19050" anchor="ctr">
                  <a:noAutofit/>
                </a:bodyPr>
                <a:lstStyle/>
                <a:p>
                  <a:pPr>
                    <a:defRPr sz="800" b="1">
                      <a:solidFill>
                        <a:srgbClr val="002060"/>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1957927569810743"/>
                      <c:h val="0.11449737421875519"/>
                    </c:manualLayout>
                  </c15:layout>
                </c:ext>
                <c:ext xmlns:c16="http://schemas.microsoft.com/office/drawing/2014/chart" uri="{C3380CC4-5D6E-409C-BE32-E72D297353CC}">
                  <c16:uniqueId val="{00000005-6C33-4D57-ADFB-71F4AE544D6E}"/>
                </c:ext>
              </c:extLst>
            </c:dLbl>
            <c:dLbl>
              <c:idx val="3"/>
              <c:layout>
                <c:manualLayout>
                  <c:x val="5.6915196357427431E-3"/>
                  <c:y val="2.535925612848686E-2"/>
                </c:manualLayout>
              </c:layout>
              <c:tx>
                <c:rich>
                  <a:bodyPr/>
                  <a:lstStyle/>
                  <a:p>
                    <a:fld id="{62419BC0-8783-468B-9029-E1A00A97C425}" type="VALUE">
                      <a:rPr lang="en-US" b="0">
                        <a:solidFill>
                          <a:sysClr val="windowText" lastClr="000000"/>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C33-4D57-ADFB-71F4AE544D6E}"/>
                </c:ext>
              </c:extLst>
            </c:dLbl>
            <c:dLbl>
              <c:idx val="4"/>
              <c:layout>
                <c:manualLayout>
                  <c:x val="0"/>
                  <c:y val="8.4530853761623E-3"/>
                </c:manualLayout>
              </c:layout>
              <c:tx>
                <c:rich>
                  <a:bodyPr wrap="square" lIns="38100" tIns="19050" rIns="38100" bIns="19050" anchor="ctr">
                    <a:spAutoFit/>
                  </a:bodyPr>
                  <a:lstStyle/>
                  <a:p>
                    <a:pPr>
                      <a:defRPr sz="800" b="0">
                        <a:solidFill>
                          <a:srgbClr val="002060"/>
                        </a:solidFill>
                      </a:defRPr>
                    </a:pPr>
                    <a:fld id="{C8EF18D2-FE44-45C6-AF4A-6412305388EB}" type="VALUE">
                      <a:rPr lang="en-US" b="0">
                        <a:solidFill>
                          <a:srgbClr val="002060"/>
                        </a:solidFill>
                      </a:rPr>
                      <a:pPr>
                        <a:defRPr sz="800" b="0">
                          <a:solidFill>
                            <a:srgbClr val="002060"/>
                          </a:solidFill>
                        </a:defRPr>
                      </a:pPr>
                      <a:t>[VALUE]</a:t>
                    </a:fld>
                    <a:endParaRPr lang="el-GR"/>
                  </a:p>
                </c:rich>
              </c:tx>
              <c:numFmt formatCode="#,##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C33-4D57-ADFB-71F4AE544D6E}"/>
                </c:ext>
              </c:extLst>
            </c:dLbl>
            <c:dLbl>
              <c:idx val="5"/>
              <c:layout>
                <c:manualLayout>
                  <c:x val="5.566379070414706E-3"/>
                  <c:y val="2.5359256128486888E-2"/>
                </c:manualLayout>
              </c:layout>
              <c:tx>
                <c:rich>
                  <a:bodyPr/>
                  <a:lstStyle/>
                  <a:p>
                    <a:fld id="{AF711C50-0C61-4F2B-B7E2-FEF5E814FA8B}" type="VALUE">
                      <a:rPr lang="en-US" b="0">
                        <a:solidFill>
                          <a:sysClr val="windowText" lastClr="000000"/>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C33-4D57-ADFB-71F4AE544D6E}"/>
                </c:ext>
              </c:extLst>
            </c:dLbl>
            <c:dLbl>
              <c:idx val="6"/>
              <c:layout>
                <c:manualLayout>
                  <c:x val="5.44145129269191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33-4D57-ADFB-71F4AE544D6E}"/>
                </c:ext>
              </c:extLst>
            </c:dLbl>
            <c:dLbl>
              <c:idx val="7"/>
              <c:layout>
                <c:manualLayout>
                  <c:x val="-5.5663790704147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C33-4D57-ADFB-71F4AE544D6E}"/>
                </c:ext>
              </c:extLst>
            </c:dLbl>
            <c:dLbl>
              <c:idx val="8"/>
              <c:layout>
                <c:manualLayout>
                  <c:x val="5.566379070414706E-3"/>
                  <c:y val="3.3812341504649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C33-4D57-ADFB-71F4AE544D6E}"/>
                </c:ext>
              </c:extLst>
            </c:dLbl>
            <c:numFmt formatCode="#,##0.0" sourceLinked="0"/>
            <c:spPr>
              <a:noFill/>
              <a:ln>
                <a:noFill/>
              </a:ln>
              <a:effectLst/>
            </c:spPr>
            <c:txPr>
              <a:bodyPr wrap="square" lIns="38100" tIns="19050" rIns="38100" bIns="19050" anchor="ctr">
                <a:spAutoFit/>
              </a:bodyPr>
              <a:lstStyle/>
              <a:p>
                <a:pPr>
                  <a:defRPr sz="800" b="0">
                    <a:solidFill>
                      <a:sysClr val="windowText" lastClr="000000"/>
                    </a:solidFill>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Sheet1!$A$2:$A$8</c:f>
              <c:numCache>
                <c:formatCode>General</c:formatCode>
                <c:ptCount val="3"/>
                <c:pt idx="0">
                  <c:v>2018</c:v>
                </c:pt>
                <c:pt idx="1">
                  <c:v>2019</c:v>
                </c:pt>
                <c:pt idx="2">
                  <c:v>2020</c:v>
                </c:pt>
              </c:numCache>
            </c:numRef>
          </c:cat>
          <c:val>
            <c:numRef>
              <c:f>Sheet1!$B$2:$B$8</c:f>
              <c:numCache>
                <c:formatCode>0.0</c:formatCode>
                <c:ptCount val="3"/>
                <c:pt idx="0">
                  <c:v>23.9</c:v>
                </c:pt>
                <c:pt idx="1">
                  <c:v>23.7</c:v>
                </c:pt>
                <c:pt idx="2">
                  <c:v>25.1</c:v>
                </c:pt>
              </c:numCache>
            </c:numRef>
          </c:val>
          <c:extLst>
            <c:ext xmlns:c16="http://schemas.microsoft.com/office/drawing/2014/chart" uri="{C3380CC4-5D6E-409C-BE32-E72D297353CC}">
              <c16:uniqueId val="{0000000E-6C33-4D57-ADFB-71F4AE544D6E}"/>
            </c:ext>
          </c:extLst>
        </c:ser>
        <c:dLbls>
          <c:showLegendKey val="0"/>
          <c:showVal val="1"/>
          <c:showCatName val="0"/>
          <c:showSerName val="0"/>
          <c:showPercent val="0"/>
          <c:showBubbleSize val="0"/>
        </c:dLbls>
        <c:gapWidth val="130"/>
        <c:overlap val="-24"/>
        <c:axId val="233291136"/>
        <c:axId val="233305216"/>
      </c:barChart>
      <c:catAx>
        <c:axId val="233291136"/>
        <c:scaling>
          <c:orientation val="minMax"/>
        </c:scaling>
        <c:delete val="0"/>
        <c:axPos val="b"/>
        <c:numFmt formatCode="General" sourceLinked="1"/>
        <c:majorTickMark val="none"/>
        <c:minorTickMark val="none"/>
        <c:tickLblPos val="nextTo"/>
        <c:spPr>
          <a:ln w="6350">
            <a:solidFill>
              <a:schemeClr val="bg1"/>
            </a:solidFill>
            <a:prstDash val="solid"/>
          </a:ln>
        </c:spPr>
        <c:txPr>
          <a:bodyPr/>
          <a:lstStyle/>
          <a:p>
            <a:pPr algn="ctr">
              <a:defRPr lang="en-GB" sz="700" b="0" i="0" u="none" strike="noStrike" kern="1200" baseline="0">
                <a:solidFill>
                  <a:schemeClr val="tx1">
                    <a:lumMod val="50000"/>
                    <a:lumOff val="50000"/>
                  </a:schemeClr>
                </a:solidFill>
                <a:latin typeface="+mn-lt"/>
                <a:ea typeface="+mn-ea"/>
                <a:cs typeface="+mn-cs"/>
              </a:defRPr>
            </a:pPr>
            <a:endParaRPr lang="el-GR"/>
          </a:p>
        </c:txPr>
        <c:crossAx val="233305216"/>
        <c:crosses val="autoZero"/>
        <c:auto val="1"/>
        <c:lblAlgn val="ctr"/>
        <c:lblOffset val="100"/>
        <c:noMultiLvlLbl val="0"/>
      </c:catAx>
      <c:valAx>
        <c:axId val="233305216"/>
        <c:scaling>
          <c:orientation val="minMax"/>
          <c:max val="35"/>
          <c:min val="0"/>
        </c:scaling>
        <c:delete val="1"/>
        <c:axPos val="l"/>
        <c:numFmt formatCode="0.0" sourceLinked="1"/>
        <c:majorTickMark val="out"/>
        <c:minorTickMark val="none"/>
        <c:tickLblPos val="none"/>
        <c:crossAx val="233291136"/>
        <c:crosses val="autoZero"/>
        <c:crossBetween val="between"/>
      </c:valAx>
      <c:spPr>
        <a:noFill/>
        <a:ln>
          <a:noFill/>
        </a:ln>
      </c:spPr>
    </c:plotArea>
    <c:plotVisOnly val="1"/>
    <c:dispBlanksAs val="gap"/>
    <c:showDLblsOverMax val="0"/>
  </c:chart>
  <c:spPr>
    <a:noFill/>
    <a:ln w="0">
      <a:noFill/>
    </a:ln>
  </c:spPr>
  <c:txPr>
    <a:bodyPr/>
    <a:lstStyle/>
    <a:p>
      <a:pPr>
        <a:defRPr sz="700">
          <a:latin typeface="+mj-lt"/>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41741657292855E-2"/>
          <c:y val="0.15636995706662529"/>
          <c:w val="0.86960996154550585"/>
          <c:h val="0.71844953155690161"/>
        </c:manualLayout>
      </c:layout>
      <c:barChart>
        <c:barDir val="col"/>
        <c:grouping val="clustered"/>
        <c:varyColors val="0"/>
        <c:ser>
          <c:idx val="0"/>
          <c:order val="0"/>
          <c:tx>
            <c:strRef>
              <c:f>Sheet1!$B$1</c:f>
              <c:strCache>
                <c:ptCount val="1"/>
                <c:pt idx="0">
                  <c:v>Series 2</c:v>
                </c:pt>
              </c:strCache>
            </c:strRef>
          </c:tx>
          <c:spPr>
            <a:solidFill>
              <a:srgbClr val="002060"/>
            </a:solidFill>
            <a:ln w="12700">
              <a:noFill/>
              <a:prstDash val="solid"/>
            </a:ln>
            <a:effectLst/>
          </c:spPr>
          <c:invertIfNegative val="0"/>
          <c:dPt>
            <c:idx val="0"/>
            <c:invertIfNegative val="0"/>
            <c:bubble3D val="0"/>
            <c:spPr>
              <a:solidFill>
                <a:srgbClr val="6691AB"/>
              </a:solidFill>
              <a:ln w="12700">
                <a:noFill/>
                <a:prstDash val="solid"/>
              </a:ln>
              <a:effectLst/>
            </c:spPr>
            <c:extLst>
              <c:ext xmlns:c16="http://schemas.microsoft.com/office/drawing/2014/chart" uri="{C3380CC4-5D6E-409C-BE32-E72D297353CC}">
                <c16:uniqueId val="{00000001-5B4F-411E-AEFE-EDB53E2E4BF7}"/>
              </c:ext>
            </c:extLst>
          </c:dPt>
          <c:dPt>
            <c:idx val="1"/>
            <c:invertIfNegative val="0"/>
            <c:bubble3D val="0"/>
            <c:spPr>
              <a:solidFill>
                <a:srgbClr val="6691AB"/>
              </a:solidFill>
              <a:ln w="12700">
                <a:noFill/>
                <a:prstDash val="solid"/>
              </a:ln>
              <a:effectLst/>
            </c:spPr>
            <c:extLst>
              <c:ext xmlns:c16="http://schemas.microsoft.com/office/drawing/2014/chart" uri="{C3380CC4-5D6E-409C-BE32-E72D297353CC}">
                <c16:uniqueId val="{00000003-5B4F-411E-AEFE-EDB53E2E4BF7}"/>
              </c:ext>
            </c:extLst>
          </c:dPt>
          <c:dPt>
            <c:idx val="2"/>
            <c:invertIfNegative val="0"/>
            <c:bubble3D val="0"/>
            <c:spPr>
              <a:solidFill>
                <a:srgbClr val="FFC000"/>
              </a:solidFill>
              <a:ln w="12700">
                <a:noFill/>
                <a:prstDash val="solid"/>
              </a:ln>
              <a:effectLst/>
            </c:spPr>
            <c:extLst>
              <c:ext xmlns:c16="http://schemas.microsoft.com/office/drawing/2014/chart" uri="{C3380CC4-5D6E-409C-BE32-E72D297353CC}">
                <c16:uniqueId val="{00000005-5B4F-411E-AEFE-EDB53E2E4BF7}"/>
              </c:ext>
            </c:extLst>
          </c:dPt>
          <c:dPt>
            <c:idx val="4"/>
            <c:invertIfNegative val="0"/>
            <c:bubble3D val="0"/>
            <c:spPr>
              <a:solidFill>
                <a:srgbClr val="FFC000"/>
              </a:solidFill>
              <a:ln w="12700">
                <a:noFill/>
                <a:prstDash val="solid"/>
              </a:ln>
              <a:effectLst/>
            </c:spPr>
            <c:extLst>
              <c:ext xmlns:c16="http://schemas.microsoft.com/office/drawing/2014/chart" uri="{C3380CC4-5D6E-409C-BE32-E72D297353CC}">
                <c16:uniqueId val="{00000007-5B4F-411E-AEFE-EDB53E2E4BF7}"/>
              </c:ext>
            </c:extLst>
          </c:dPt>
          <c:dPt>
            <c:idx val="6"/>
            <c:invertIfNegative val="0"/>
            <c:bubble3D val="0"/>
            <c:spPr>
              <a:solidFill>
                <a:srgbClr val="FFC000"/>
              </a:solidFill>
              <a:ln w="12700">
                <a:noFill/>
                <a:prstDash val="solid"/>
              </a:ln>
              <a:effectLst/>
            </c:spPr>
            <c:extLst>
              <c:ext xmlns:c16="http://schemas.microsoft.com/office/drawing/2014/chart" uri="{C3380CC4-5D6E-409C-BE32-E72D297353CC}">
                <c16:uniqueId val="{00000009-5B4F-411E-AEFE-EDB53E2E4BF7}"/>
              </c:ext>
            </c:extLst>
          </c:dPt>
          <c:dLbls>
            <c:dLbl>
              <c:idx val="0"/>
              <c:layout>
                <c:manualLayout>
                  <c:x val="5.566379070414706E-3"/>
                  <c:y val="2.535925612848688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B4F-411E-AEFE-EDB53E2E4BF7}"/>
                </c:ext>
              </c:extLst>
            </c:dLbl>
            <c:dLbl>
              <c:idx val="1"/>
              <c:layout>
                <c:manualLayout>
                  <c:x val="-8.5370553780378788E-3"/>
                  <c:y val="2.1132713440405765E-2"/>
                </c:manualLayout>
              </c:layout>
              <c:numFmt formatCode="#,##0" sourceLinked="0"/>
              <c:spPr>
                <a:noFill/>
                <a:ln>
                  <a:noFill/>
                </a:ln>
                <a:effectLst/>
              </c:spPr>
              <c:txPr>
                <a:bodyPr wrap="square" lIns="38100" tIns="19050" rIns="38100" bIns="19050" anchor="ctr">
                  <a:noAutofit/>
                </a:bodyPr>
                <a:lstStyle/>
                <a:p>
                  <a:pPr>
                    <a:defRPr sz="800" b="0">
                      <a:solidFill>
                        <a:schemeClr val="tx1"/>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layout>
                    <c:manualLayout>
                      <c:w val="0.13096231496959293"/>
                      <c:h val="7.2231947337943705E-2"/>
                    </c:manualLayout>
                  </c15:layout>
                </c:ext>
                <c:ext xmlns:c16="http://schemas.microsoft.com/office/drawing/2014/chart" uri="{C3380CC4-5D6E-409C-BE32-E72D297353CC}">
                  <c16:uniqueId val="{00000003-5B4F-411E-AEFE-EDB53E2E4BF7}"/>
                </c:ext>
              </c:extLst>
            </c:dLbl>
            <c:dLbl>
              <c:idx val="2"/>
              <c:layout>
                <c:manualLayout>
                  <c:x val="-2.8455357422951613E-3"/>
                  <c:y val="2.5359256128486898E-2"/>
                </c:manualLayout>
              </c:layout>
              <c:numFmt formatCode="#,##0" sourceLinked="0"/>
              <c:spPr>
                <a:noFill/>
                <a:ln>
                  <a:noFill/>
                </a:ln>
                <a:effectLst/>
              </c:spPr>
              <c:txPr>
                <a:bodyPr wrap="square" lIns="38100" tIns="19050" rIns="38100" bIns="19050" anchor="ctr">
                  <a:noAutofit/>
                </a:bodyPr>
                <a:lstStyle/>
                <a:p>
                  <a:pPr>
                    <a:defRPr sz="800" b="1">
                      <a:solidFill>
                        <a:srgbClr val="002060"/>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1957927569810743"/>
                      <c:h val="0.11449737421875519"/>
                    </c:manualLayout>
                  </c15:layout>
                </c:ext>
                <c:ext xmlns:c16="http://schemas.microsoft.com/office/drawing/2014/chart" uri="{C3380CC4-5D6E-409C-BE32-E72D297353CC}">
                  <c16:uniqueId val="{00000005-5B4F-411E-AEFE-EDB53E2E4BF7}"/>
                </c:ext>
              </c:extLst>
            </c:dLbl>
            <c:dLbl>
              <c:idx val="3"/>
              <c:layout>
                <c:manualLayout>
                  <c:x val="-1.0434332127233287E-16"/>
                  <c:y val="3.3812341504649179E-2"/>
                </c:manualLayout>
              </c:layout>
              <c:tx>
                <c:rich>
                  <a:bodyPr/>
                  <a:lstStyle/>
                  <a:p>
                    <a:fld id="{62419BC0-8783-468B-9029-E1A00A97C425}" type="VALUE">
                      <a:rPr lang="en-US" b="0">
                        <a:solidFill>
                          <a:schemeClr val="tx1"/>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5B4F-411E-AEFE-EDB53E2E4BF7}"/>
                </c:ext>
              </c:extLst>
            </c:dLbl>
            <c:dLbl>
              <c:idx val="4"/>
              <c:layout>
                <c:manualLayout>
                  <c:x val="0"/>
                  <c:y val="2.535925612848686E-2"/>
                </c:manualLayout>
              </c:layout>
              <c:tx>
                <c:rich>
                  <a:bodyPr wrap="square" lIns="38100" tIns="19050" rIns="38100" bIns="19050" anchor="ctr">
                    <a:spAutoFit/>
                  </a:bodyPr>
                  <a:lstStyle/>
                  <a:p>
                    <a:pPr>
                      <a:defRPr sz="800" b="1">
                        <a:solidFill>
                          <a:srgbClr val="002060"/>
                        </a:solidFill>
                      </a:defRPr>
                    </a:pPr>
                    <a:fld id="{C8EF18D2-FE44-45C6-AF4A-6412305388EB}" type="VALUE">
                      <a:rPr lang="en-US" b="1">
                        <a:solidFill>
                          <a:srgbClr val="002060"/>
                        </a:solidFill>
                      </a:rPr>
                      <a:pPr>
                        <a:defRPr sz="800" b="1">
                          <a:solidFill>
                            <a:srgbClr val="002060"/>
                          </a:solidFill>
                        </a:defRPr>
                      </a:pPr>
                      <a:t>[VALUE]</a:t>
                    </a:fld>
                    <a:endParaRPr lang="el-GR"/>
                  </a:p>
                </c:rich>
              </c:tx>
              <c:numFmt formatCode="#,##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B4F-411E-AEFE-EDB53E2E4BF7}"/>
                </c:ext>
              </c:extLst>
            </c:dLbl>
            <c:dLbl>
              <c:idx val="5"/>
              <c:layout>
                <c:manualLayout>
                  <c:x val="5.566379070414706E-3"/>
                  <c:y val="2.5359256128486888E-2"/>
                </c:manualLayout>
              </c:layout>
              <c:tx>
                <c:rich>
                  <a:bodyPr/>
                  <a:lstStyle/>
                  <a:p>
                    <a:fld id="{AF711C50-0C61-4F2B-B7E2-FEF5E814FA8B}" type="VALUE">
                      <a:rPr lang="en-US">
                        <a:solidFill>
                          <a:schemeClr val="tx1"/>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B4F-411E-AEFE-EDB53E2E4BF7}"/>
                </c:ext>
              </c:extLst>
            </c:dLbl>
            <c:dLbl>
              <c:idx val="6"/>
              <c:layout>
                <c:manualLayout>
                  <c:x val="5.44145129269191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4F-411E-AEFE-EDB53E2E4BF7}"/>
                </c:ext>
              </c:extLst>
            </c:dLbl>
            <c:dLbl>
              <c:idx val="7"/>
              <c:layout>
                <c:manualLayout>
                  <c:x val="-5.5663790704147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B4F-411E-AEFE-EDB53E2E4BF7}"/>
                </c:ext>
              </c:extLst>
            </c:dLbl>
            <c:dLbl>
              <c:idx val="8"/>
              <c:layout>
                <c:manualLayout>
                  <c:x val="5.566379070414706E-3"/>
                  <c:y val="3.3812341504649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B4F-411E-AEFE-EDB53E2E4BF7}"/>
                </c:ext>
              </c:extLst>
            </c:dLbl>
            <c:numFmt formatCode="#,##0" sourceLinked="0"/>
            <c:spPr>
              <a:noFill/>
              <a:ln>
                <a:noFill/>
              </a:ln>
              <a:effectLst/>
            </c:spPr>
            <c:txPr>
              <a:bodyPr wrap="square" lIns="38100" tIns="19050" rIns="38100" bIns="19050" anchor="ctr">
                <a:spAutoFit/>
              </a:bodyPr>
              <a:lstStyle/>
              <a:p>
                <a:pPr>
                  <a:defRPr sz="800" b="0">
                    <a:solidFill>
                      <a:schemeClr val="tx1"/>
                    </a:solidFill>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Sheet1!$A$2:$A$8</c:f>
              <c:numCache>
                <c:formatCode>General</c:formatCode>
                <c:ptCount val="3"/>
                <c:pt idx="0">
                  <c:v>2018</c:v>
                </c:pt>
                <c:pt idx="1">
                  <c:v>2019</c:v>
                </c:pt>
                <c:pt idx="2">
                  <c:v>2020</c:v>
                </c:pt>
              </c:numCache>
            </c:numRef>
          </c:cat>
          <c:val>
            <c:numRef>
              <c:f>Sheet1!$B$2:$B$8</c:f>
              <c:numCache>
                <c:formatCode>0</c:formatCode>
                <c:ptCount val="3"/>
                <c:pt idx="0">
                  <c:v>1040</c:v>
                </c:pt>
                <c:pt idx="1">
                  <c:v>963</c:v>
                </c:pt>
                <c:pt idx="2">
                  <c:v>891</c:v>
                </c:pt>
              </c:numCache>
            </c:numRef>
          </c:val>
          <c:extLst>
            <c:ext xmlns:c16="http://schemas.microsoft.com/office/drawing/2014/chart" uri="{C3380CC4-5D6E-409C-BE32-E72D297353CC}">
              <c16:uniqueId val="{0000000E-5B4F-411E-AEFE-EDB53E2E4BF7}"/>
            </c:ext>
          </c:extLst>
        </c:ser>
        <c:dLbls>
          <c:showLegendKey val="0"/>
          <c:showVal val="1"/>
          <c:showCatName val="0"/>
          <c:showSerName val="0"/>
          <c:showPercent val="0"/>
          <c:showBubbleSize val="0"/>
        </c:dLbls>
        <c:gapWidth val="150"/>
        <c:overlap val="-24"/>
        <c:axId val="162077312"/>
        <c:axId val="332065408"/>
      </c:barChart>
      <c:catAx>
        <c:axId val="162077312"/>
        <c:scaling>
          <c:orientation val="minMax"/>
        </c:scaling>
        <c:delete val="0"/>
        <c:axPos val="b"/>
        <c:numFmt formatCode="General" sourceLinked="1"/>
        <c:majorTickMark val="none"/>
        <c:minorTickMark val="none"/>
        <c:tickLblPos val="nextTo"/>
        <c:spPr>
          <a:ln w="6350">
            <a:solidFill>
              <a:schemeClr val="bg1"/>
            </a:solidFill>
            <a:prstDash val="solid"/>
          </a:ln>
        </c:spPr>
        <c:txPr>
          <a:bodyPr/>
          <a:lstStyle/>
          <a:p>
            <a:pPr algn="ctr">
              <a:defRPr lang="en-GB" sz="700" b="0" i="0" u="none" strike="noStrike" kern="1200" baseline="0">
                <a:solidFill>
                  <a:schemeClr val="tx1">
                    <a:lumMod val="50000"/>
                    <a:lumOff val="50000"/>
                  </a:schemeClr>
                </a:solidFill>
                <a:latin typeface="+mn-lt"/>
                <a:ea typeface="+mn-ea"/>
                <a:cs typeface="+mn-cs"/>
              </a:defRPr>
            </a:pPr>
            <a:endParaRPr lang="el-GR"/>
          </a:p>
        </c:txPr>
        <c:crossAx val="332065408"/>
        <c:crosses val="autoZero"/>
        <c:auto val="1"/>
        <c:lblAlgn val="ctr"/>
        <c:lblOffset val="100"/>
        <c:noMultiLvlLbl val="0"/>
      </c:catAx>
      <c:valAx>
        <c:axId val="332065408"/>
        <c:scaling>
          <c:orientation val="minMax"/>
          <c:min val="150"/>
        </c:scaling>
        <c:delete val="1"/>
        <c:axPos val="l"/>
        <c:numFmt formatCode="0" sourceLinked="1"/>
        <c:majorTickMark val="out"/>
        <c:minorTickMark val="none"/>
        <c:tickLblPos val="none"/>
        <c:crossAx val="162077312"/>
        <c:crosses val="autoZero"/>
        <c:crossBetween val="between"/>
      </c:valAx>
      <c:spPr>
        <a:noFill/>
        <a:ln>
          <a:noFill/>
        </a:ln>
      </c:spPr>
    </c:plotArea>
    <c:plotVisOnly val="1"/>
    <c:dispBlanksAs val="gap"/>
    <c:showDLblsOverMax val="0"/>
  </c:chart>
  <c:spPr>
    <a:noFill/>
    <a:ln w="0">
      <a:noFill/>
    </a:ln>
  </c:spPr>
  <c:txPr>
    <a:bodyPr/>
    <a:lstStyle/>
    <a:p>
      <a:pPr>
        <a:defRPr sz="700">
          <a:latin typeface="+mj-lt"/>
        </a:defRPr>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41741657292855E-2"/>
          <c:y val="0.15636995706662529"/>
          <c:w val="0.86960996154550585"/>
          <c:h val="0.71844953155690161"/>
        </c:manualLayout>
      </c:layout>
      <c:barChart>
        <c:barDir val="col"/>
        <c:grouping val="clustered"/>
        <c:varyColors val="0"/>
        <c:ser>
          <c:idx val="0"/>
          <c:order val="0"/>
          <c:tx>
            <c:strRef>
              <c:f>Sheet1!$B$1</c:f>
              <c:strCache>
                <c:ptCount val="1"/>
                <c:pt idx="0">
                  <c:v>Series 2</c:v>
                </c:pt>
              </c:strCache>
            </c:strRef>
          </c:tx>
          <c:spPr>
            <a:solidFill>
              <a:srgbClr val="002060"/>
            </a:solidFill>
            <a:ln w="12700">
              <a:noFill/>
              <a:prstDash val="solid"/>
            </a:ln>
            <a:effectLst/>
          </c:spPr>
          <c:invertIfNegative val="0"/>
          <c:dPt>
            <c:idx val="0"/>
            <c:invertIfNegative val="0"/>
            <c:bubble3D val="0"/>
            <c:spPr>
              <a:solidFill>
                <a:srgbClr val="6691AB"/>
              </a:solidFill>
              <a:ln w="12700">
                <a:noFill/>
                <a:prstDash val="solid"/>
              </a:ln>
              <a:effectLst/>
            </c:spPr>
            <c:extLst>
              <c:ext xmlns:c16="http://schemas.microsoft.com/office/drawing/2014/chart" uri="{C3380CC4-5D6E-409C-BE32-E72D297353CC}">
                <c16:uniqueId val="{00000001-D664-409D-9C24-8F1CACB4A7DA}"/>
              </c:ext>
            </c:extLst>
          </c:dPt>
          <c:dPt>
            <c:idx val="1"/>
            <c:invertIfNegative val="0"/>
            <c:bubble3D val="0"/>
            <c:spPr>
              <a:solidFill>
                <a:srgbClr val="6691AB"/>
              </a:solidFill>
              <a:ln w="12700">
                <a:noFill/>
                <a:prstDash val="solid"/>
              </a:ln>
              <a:effectLst/>
            </c:spPr>
            <c:extLst>
              <c:ext xmlns:c16="http://schemas.microsoft.com/office/drawing/2014/chart" uri="{C3380CC4-5D6E-409C-BE32-E72D297353CC}">
                <c16:uniqueId val="{00000003-D664-409D-9C24-8F1CACB4A7DA}"/>
              </c:ext>
            </c:extLst>
          </c:dPt>
          <c:dPt>
            <c:idx val="2"/>
            <c:invertIfNegative val="0"/>
            <c:bubble3D val="0"/>
            <c:spPr>
              <a:solidFill>
                <a:srgbClr val="FFC000"/>
              </a:solidFill>
              <a:ln w="12700">
                <a:noFill/>
                <a:prstDash val="solid"/>
              </a:ln>
              <a:effectLst/>
            </c:spPr>
            <c:extLst>
              <c:ext xmlns:c16="http://schemas.microsoft.com/office/drawing/2014/chart" uri="{C3380CC4-5D6E-409C-BE32-E72D297353CC}">
                <c16:uniqueId val="{00000005-D664-409D-9C24-8F1CACB4A7DA}"/>
              </c:ext>
            </c:extLst>
          </c:dPt>
          <c:dPt>
            <c:idx val="4"/>
            <c:invertIfNegative val="0"/>
            <c:bubble3D val="0"/>
            <c:spPr>
              <a:solidFill>
                <a:srgbClr val="FFC000"/>
              </a:solidFill>
              <a:ln w="12700">
                <a:noFill/>
                <a:prstDash val="solid"/>
              </a:ln>
              <a:effectLst/>
            </c:spPr>
            <c:extLst>
              <c:ext xmlns:c16="http://schemas.microsoft.com/office/drawing/2014/chart" uri="{C3380CC4-5D6E-409C-BE32-E72D297353CC}">
                <c16:uniqueId val="{00000007-D664-409D-9C24-8F1CACB4A7DA}"/>
              </c:ext>
            </c:extLst>
          </c:dPt>
          <c:dPt>
            <c:idx val="6"/>
            <c:invertIfNegative val="0"/>
            <c:bubble3D val="0"/>
            <c:spPr>
              <a:solidFill>
                <a:srgbClr val="FFC000"/>
              </a:solidFill>
              <a:ln w="12700">
                <a:noFill/>
                <a:prstDash val="solid"/>
              </a:ln>
              <a:effectLst/>
            </c:spPr>
            <c:extLst>
              <c:ext xmlns:c16="http://schemas.microsoft.com/office/drawing/2014/chart" uri="{C3380CC4-5D6E-409C-BE32-E72D297353CC}">
                <c16:uniqueId val="{00000009-D664-409D-9C24-8F1CACB4A7DA}"/>
              </c:ext>
            </c:extLst>
          </c:dPt>
          <c:dLbls>
            <c:dLbl>
              <c:idx val="0"/>
              <c:layout>
                <c:manualLayout>
                  <c:x val="5.566379070414706E-3"/>
                  <c:y val="2.535925612848688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664-409D-9C24-8F1CACB4A7DA}"/>
                </c:ext>
              </c:extLst>
            </c:dLbl>
            <c:dLbl>
              <c:idx val="1"/>
              <c:layout>
                <c:manualLayout>
                  <c:x val="4.4815115236851677E-7"/>
                  <c:y val="2.1132713440405709E-2"/>
                </c:manualLayout>
              </c:layout>
              <c:numFmt formatCode="#,##0" sourceLinked="0"/>
              <c:spPr>
                <a:noFill/>
                <a:ln>
                  <a:noFill/>
                </a:ln>
                <a:effectLst/>
              </c:spPr>
              <c:txPr>
                <a:bodyPr wrap="square" lIns="38100" tIns="19050" rIns="38100" bIns="19050" anchor="ctr">
                  <a:noAutofit/>
                </a:bodyPr>
                <a:lstStyle/>
                <a:p>
                  <a:pPr>
                    <a:defRPr sz="800" b="0">
                      <a:solidFill>
                        <a:schemeClr val="tx1"/>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layout>
                    <c:manualLayout>
                      <c:w val="0.18218599169127764"/>
                      <c:h val="8.9138118090268309E-2"/>
                    </c:manualLayout>
                  </c15:layout>
                </c:ext>
                <c:ext xmlns:c16="http://schemas.microsoft.com/office/drawing/2014/chart" uri="{C3380CC4-5D6E-409C-BE32-E72D297353CC}">
                  <c16:uniqueId val="{00000003-D664-409D-9C24-8F1CACB4A7DA}"/>
                </c:ext>
              </c:extLst>
            </c:dLbl>
            <c:dLbl>
              <c:idx val="2"/>
              <c:layout>
                <c:manualLayout>
                  <c:x val="2.240755761060009E-7"/>
                  <c:y val="2.5359256128486878E-2"/>
                </c:manualLayout>
              </c:layout>
              <c:numFmt formatCode="#,##0" sourceLinked="0"/>
              <c:spPr>
                <a:noFill/>
                <a:ln>
                  <a:noFill/>
                </a:ln>
                <a:effectLst/>
              </c:spPr>
              <c:txPr>
                <a:bodyPr wrap="square" lIns="38100" tIns="19050" rIns="38100" bIns="19050" anchor="ctr">
                  <a:noAutofit/>
                </a:bodyPr>
                <a:lstStyle/>
                <a:p>
                  <a:pPr>
                    <a:defRPr sz="800" b="1">
                      <a:solidFill>
                        <a:srgbClr val="002060"/>
                      </a:solidFill>
                    </a:defRPr>
                  </a:pPr>
                  <a:endParaRPr lang="el-G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080295241979213"/>
                      <c:h val="0.11449737421875519"/>
                    </c:manualLayout>
                  </c15:layout>
                </c:ext>
                <c:ext xmlns:c16="http://schemas.microsoft.com/office/drawing/2014/chart" uri="{C3380CC4-5D6E-409C-BE32-E72D297353CC}">
                  <c16:uniqueId val="{00000005-D664-409D-9C24-8F1CACB4A7DA}"/>
                </c:ext>
              </c:extLst>
            </c:dLbl>
            <c:dLbl>
              <c:idx val="3"/>
              <c:layout>
                <c:manualLayout>
                  <c:x val="-1.0434332127233287E-16"/>
                  <c:y val="3.3812341504649179E-2"/>
                </c:manualLayout>
              </c:layout>
              <c:tx>
                <c:rich>
                  <a:bodyPr/>
                  <a:lstStyle/>
                  <a:p>
                    <a:fld id="{62419BC0-8783-468B-9029-E1A00A97C425}" type="VALUE">
                      <a:rPr lang="en-US" b="0">
                        <a:solidFill>
                          <a:schemeClr val="tx1"/>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D664-409D-9C24-8F1CACB4A7DA}"/>
                </c:ext>
              </c:extLst>
            </c:dLbl>
            <c:dLbl>
              <c:idx val="4"/>
              <c:layout>
                <c:manualLayout>
                  <c:x val="0"/>
                  <c:y val="2.535925612848686E-2"/>
                </c:manualLayout>
              </c:layout>
              <c:tx>
                <c:rich>
                  <a:bodyPr wrap="square" lIns="38100" tIns="19050" rIns="38100" bIns="19050" anchor="ctr">
                    <a:spAutoFit/>
                  </a:bodyPr>
                  <a:lstStyle/>
                  <a:p>
                    <a:pPr>
                      <a:defRPr sz="800" b="1">
                        <a:solidFill>
                          <a:srgbClr val="002060"/>
                        </a:solidFill>
                      </a:defRPr>
                    </a:pPr>
                    <a:fld id="{C8EF18D2-FE44-45C6-AF4A-6412305388EB}" type="VALUE">
                      <a:rPr lang="en-US" b="1">
                        <a:solidFill>
                          <a:srgbClr val="002060"/>
                        </a:solidFill>
                      </a:rPr>
                      <a:pPr>
                        <a:defRPr sz="800" b="1">
                          <a:solidFill>
                            <a:srgbClr val="002060"/>
                          </a:solidFill>
                        </a:defRPr>
                      </a:pPr>
                      <a:t>[VALUE]</a:t>
                    </a:fld>
                    <a:endParaRPr lang="el-GR"/>
                  </a:p>
                </c:rich>
              </c:tx>
              <c:numFmt formatCode="#,##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664-409D-9C24-8F1CACB4A7DA}"/>
                </c:ext>
              </c:extLst>
            </c:dLbl>
            <c:dLbl>
              <c:idx val="5"/>
              <c:layout>
                <c:manualLayout>
                  <c:x val="5.566379070414706E-3"/>
                  <c:y val="2.5359256128486888E-2"/>
                </c:manualLayout>
              </c:layout>
              <c:tx>
                <c:rich>
                  <a:bodyPr/>
                  <a:lstStyle/>
                  <a:p>
                    <a:fld id="{AF711C50-0C61-4F2B-B7E2-FEF5E814FA8B}" type="VALUE">
                      <a:rPr lang="en-US">
                        <a:solidFill>
                          <a:schemeClr val="tx1"/>
                        </a:solidFill>
                      </a:rPr>
                      <a:pPr/>
                      <a:t>[VALUE]</a:t>
                    </a:fld>
                    <a:endParaRPr lang="el-G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664-409D-9C24-8F1CACB4A7DA}"/>
                </c:ext>
              </c:extLst>
            </c:dLbl>
            <c:dLbl>
              <c:idx val="6"/>
              <c:layout>
                <c:manualLayout>
                  <c:x val="5.44145129269191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64-409D-9C24-8F1CACB4A7DA}"/>
                </c:ext>
              </c:extLst>
            </c:dLbl>
            <c:dLbl>
              <c:idx val="7"/>
              <c:layout>
                <c:manualLayout>
                  <c:x val="-5.566379070414706E-3"/>
                  <c:y val="3.38123415046492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64-409D-9C24-8F1CACB4A7DA}"/>
                </c:ext>
              </c:extLst>
            </c:dLbl>
            <c:dLbl>
              <c:idx val="8"/>
              <c:layout>
                <c:manualLayout>
                  <c:x val="5.566379070414706E-3"/>
                  <c:y val="3.3812341504649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64-409D-9C24-8F1CACB4A7DA}"/>
                </c:ext>
              </c:extLst>
            </c:dLbl>
            <c:numFmt formatCode="#,##0" sourceLinked="0"/>
            <c:spPr>
              <a:noFill/>
              <a:ln>
                <a:noFill/>
              </a:ln>
              <a:effectLst/>
            </c:spPr>
            <c:txPr>
              <a:bodyPr wrap="square" lIns="38100" tIns="19050" rIns="38100" bIns="19050" anchor="ctr">
                <a:spAutoFit/>
              </a:bodyPr>
              <a:lstStyle/>
              <a:p>
                <a:pPr>
                  <a:defRPr sz="800" b="0">
                    <a:solidFill>
                      <a:schemeClr val="tx1"/>
                    </a:solidFill>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Sheet1!$A$2:$A$8</c:f>
              <c:numCache>
                <c:formatCode>General</c:formatCode>
                <c:ptCount val="3"/>
                <c:pt idx="0">
                  <c:v>2018</c:v>
                </c:pt>
                <c:pt idx="1">
                  <c:v>2019</c:v>
                </c:pt>
                <c:pt idx="2">
                  <c:v>2020</c:v>
                </c:pt>
              </c:numCache>
            </c:numRef>
          </c:cat>
          <c:val>
            <c:numRef>
              <c:f>Sheet1!$B$2:$B$8</c:f>
              <c:numCache>
                <c:formatCode>0</c:formatCode>
                <c:ptCount val="3"/>
                <c:pt idx="0">
                  <c:v>1701</c:v>
                </c:pt>
                <c:pt idx="1">
                  <c:v>1753</c:v>
                </c:pt>
                <c:pt idx="2">
                  <c:v>1803</c:v>
                </c:pt>
              </c:numCache>
            </c:numRef>
          </c:val>
          <c:extLst>
            <c:ext xmlns:c16="http://schemas.microsoft.com/office/drawing/2014/chart" uri="{C3380CC4-5D6E-409C-BE32-E72D297353CC}">
              <c16:uniqueId val="{0000000E-D664-409D-9C24-8F1CACB4A7DA}"/>
            </c:ext>
          </c:extLst>
        </c:ser>
        <c:dLbls>
          <c:showLegendKey val="0"/>
          <c:showVal val="1"/>
          <c:showCatName val="0"/>
          <c:showSerName val="0"/>
          <c:showPercent val="0"/>
          <c:showBubbleSize val="0"/>
        </c:dLbls>
        <c:gapWidth val="150"/>
        <c:overlap val="-24"/>
        <c:axId val="162129024"/>
        <c:axId val="162130560"/>
      </c:barChart>
      <c:catAx>
        <c:axId val="162129024"/>
        <c:scaling>
          <c:orientation val="minMax"/>
        </c:scaling>
        <c:delete val="0"/>
        <c:axPos val="b"/>
        <c:numFmt formatCode="General" sourceLinked="1"/>
        <c:majorTickMark val="none"/>
        <c:minorTickMark val="none"/>
        <c:tickLblPos val="nextTo"/>
        <c:spPr>
          <a:ln w="6350">
            <a:solidFill>
              <a:schemeClr val="bg1"/>
            </a:solidFill>
            <a:prstDash val="solid"/>
          </a:ln>
        </c:spPr>
        <c:txPr>
          <a:bodyPr/>
          <a:lstStyle/>
          <a:p>
            <a:pPr algn="ctr">
              <a:defRPr lang="en-GB" sz="700" b="0" i="0" u="none" strike="noStrike" kern="1200" baseline="0">
                <a:solidFill>
                  <a:schemeClr val="tx1">
                    <a:lumMod val="50000"/>
                    <a:lumOff val="50000"/>
                  </a:schemeClr>
                </a:solidFill>
                <a:latin typeface="+mn-lt"/>
                <a:ea typeface="+mn-ea"/>
                <a:cs typeface="+mn-cs"/>
              </a:defRPr>
            </a:pPr>
            <a:endParaRPr lang="el-GR"/>
          </a:p>
        </c:txPr>
        <c:crossAx val="162130560"/>
        <c:crosses val="autoZero"/>
        <c:auto val="1"/>
        <c:lblAlgn val="ctr"/>
        <c:lblOffset val="100"/>
        <c:noMultiLvlLbl val="0"/>
      </c:catAx>
      <c:valAx>
        <c:axId val="162130560"/>
        <c:scaling>
          <c:orientation val="minMax"/>
          <c:min val="300"/>
        </c:scaling>
        <c:delete val="1"/>
        <c:axPos val="l"/>
        <c:numFmt formatCode="0" sourceLinked="1"/>
        <c:majorTickMark val="out"/>
        <c:minorTickMark val="none"/>
        <c:tickLblPos val="none"/>
        <c:crossAx val="162129024"/>
        <c:crosses val="autoZero"/>
        <c:crossBetween val="between"/>
      </c:valAx>
      <c:spPr>
        <a:noFill/>
        <a:ln>
          <a:noFill/>
        </a:ln>
      </c:spPr>
    </c:plotArea>
    <c:plotVisOnly val="1"/>
    <c:dispBlanksAs val="gap"/>
    <c:showDLblsOverMax val="0"/>
  </c:chart>
  <c:spPr>
    <a:noFill/>
    <a:ln w="0">
      <a:noFill/>
    </a:ln>
  </c:spPr>
  <c:txPr>
    <a:bodyPr/>
    <a:lstStyle/>
    <a:p>
      <a:pPr>
        <a:defRPr sz="700">
          <a:latin typeface="+mj-lt"/>
        </a:defRPr>
      </a:pPr>
      <a:endParaRPr lang="el-GR"/>
    </a:p>
  </c:txPr>
  <c:externalData r:id="rId2">
    <c:autoUpdate val="0"/>
  </c:externalData>
</c:chartSpace>
</file>

<file path=word/theme/theme1.xml><?xml version="1.0" encoding="utf-8"?>
<a:theme xmlns:a="http://schemas.openxmlformats.org/drawingml/2006/main" name="Θέμα του Office">
  <a:themeElements>
    <a:clrScheme name="corporatecolors">
      <a:dk1>
        <a:sysClr val="windowText" lastClr="000000"/>
      </a:dk1>
      <a:lt1>
        <a:sysClr val="window" lastClr="FFFFFF"/>
      </a:lt1>
      <a:dk2>
        <a:srgbClr val="003C96"/>
      </a:dk2>
      <a:lt2>
        <a:srgbClr val="D9D9D9"/>
      </a:lt2>
      <a:accent1>
        <a:srgbClr val="3A73AE"/>
      </a:accent1>
      <a:accent2>
        <a:srgbClr val="D1AA70"/>
      </a:accent2>
      <a:accent3>
        <a:srgbClr val="464646"/>
      </a:accent3>
      <a:accent4>
        <a:srgbClr val="FAB414"/>
      </a:accent4>
      <a:accent5>
        <a:srgbClr val="FF0000"/>
      </a:accent5>
      <a:accent6>
        <a:srgbClr val="00B050"/>
      </a:accent6>
      <a:hlink>
        <a:srgbClr val="0070C0"/>
      </a:hlink>
      <a:folHlink>
        <a:srgbClr val="7030A0"/>
      </a:folHlink>
    </a:clrScheme>
    <a:fontScheme name="Piraeus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raeus Bank">
    <a:dk1>
      <a:srgbClr val="3C3B2F"/>
    </a:dk1>
    <a:lt1>
      <a:srgbClr val="FFFFFF"/>
    </a:lt1>
    <a:dk2>
      <a:srgbClr val="FAB414"/>
    </a:dk2>
    <a:lt2>
      <a:srgbClr val="E6E6E1"/>
    </a:lt2>
    <a:accent1>
      <a:srgbClr val="DCDCD7"/>
    </a:accent1>
    <a:accent2>
      <a:srgbClr val="003C96"/>
    </a:accent2>
    <a:accent3>
      <a:srgbClr val="D1AA71"/>
    </a:accent3>
    <a:accent4>
      <a:srgbClr val="B84F3E"/>
    </a:accent4>
    <a:accent5>
      <a:srgbClr val="3A73AE"/>
    </a:accent5>
    <a:accent6>
      <a:srgbClr val="A4A96D"/>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iraeus Bank">
    <a:dk1>
      <a:srgbClr val="3C3B2F"/>
    </a:dk1>
    <a:lt1>
      <a:srgbClr val="FFFFFF"/>
    </a:lt1>
    <a:dk2>
      <a:srgbClr val="FAB414"/>
    </a:dk2>
    <a:lt2>
      <a:srgbClr val="E6E6E1"/>
    </a:lt2>
    <a:accent1>
      <a:srgbClr val="DCDCD7"/>
    </a:accent1>
    <a:accent2>
      <a:srgbClr val="003C96"/>
    </a:accent2>
    <a:accent3>
      <a:srgbClr val="D1AA71"/>
    </a:accent3>
    <a:accent4>
      <a:srgbClr val="B84F3E"/>
    </a:accent4>
    <a:accent5>
      <a:srgbClr val="3A73AE"/>
    </a:accent5>
    <a:accent6>
      <a:srgbClr val="A4A96D"/>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orporatecolors">
    <a:dk1>
      <a:sysClr val="windowText" lastClr="000000"/>
    </a:dk1>
    <a:lt1>
      <a:sysClr val="window" lastClr="FFFFFF"/>
    </a:lt1>
    <a:dk2>
      <a:srgbClr val="003C96"/>
    </a:dk2>
    <a:lt2>
      <a:srgbClr val="D9D9D9"/>
    </a:lt2>
    <a:accent1>
      <a:srgbClr val="3A73AE"/>
    </a:accent1>
    <a:accent2>
      <a:srgbClr val="D1AA70"/>
    </a:accent2>
    <a:accent3>
      <a:srgbClr val="464646"/>
    </a:accent3>
    <a:accent4>
      <a:srgbClr val="FAB414"/>
    </a:accent4>
    <a:accent5>
      <a:srgbClr val="FF0000"/>
    </a:accent5>
    <a:accent6>
      <a:srgbClr val="00B050"/>
    </a:accent6>
    <a:hlink>
      <a:srgbClr val="0070C0"/>
    </a:hlink>
    <a:folHlink>
      <a:srgbClr val="7030A0"/>
    </a:folHlink>
  </a:clrScheme>
  <a:fontScheme name="Piraeus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orporatecolors">
    <a:dk1>
      <a:sysClr val="windowText" lastClr="000000"/>
    </a:dk1>
    <a:lt1>
      <a:sysClr val="window" lastClr="FFFFFF"/>
    </a:lt1>
    <a:dk2>
      <a:srgbClr val="003C96"/>
    </a:dk2>
    <a:lt2>
      <a:srgbClr val="D9D9D9"/>
    </a:lt2>
    <a:accent1>
      <a:srgbClr val="3A73AE"/>
    </a:accent1>
    <a:accent2>
      <a:srgbClr val="D1AA70"/>
    </a:accent2>
    <a:accent3>
      <a:srgbClr val="464646"/>
    </a:accent3>
    <a:accent4>
      <a:srgbClr val="FAB414"/>
    </a:accent4>
    <a:accent5>
      <a:srgbClr val="FF0000"/>
    </a:accent5>
    <a:accent6>
      <a:srgbClr val="00B050"/>
    </a:accent6>
    <a:hlink>
      <a:srgbClr val="0070C0"/>
    </a:hlink>
    <a:folHlink>
      <a:srgbClr val="7030A0"/>
    </a:folHlink>
  </a:clrScheme>
  <a:fontScheme name="Piraeus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orporatecolors">
    <a:dk1>
      <a:sysClr val="windowText" lastClr="000000"/>
    </a:dk1>
    <a:lt1>
      <a:sysClr val="window" lastClr="FFFFFF"/>
    </a:lt1>
    <a:dk2>
      <a:srgbClr val="003C96"/>
    </a:dk2>
    <a:lt2>
      <a:srgbClr val="D9D9D9"/>
    </a:lt2>
    <a:accent1>
      <a:srgbClr val="3A73AE"/>
    </a:accent1>
    <a:accent2>
      <a:srgbClr val="D1AA70"/>
    </a:accent2>
    <a:accent3>
      <a:srgbClr val="464646"/>
    </a:accent3>
    <a:accent4>
      <a:srgbClr val="FAB414"/>
    </a:accent4>
    <a:accent5>
      <a:srgbClr val="FF0000"/>
    </a:accent5>
    <a:accent6>
      <a:srgbClr val="00B050"/>
    </a:accent6>
    <a:hlink>
      <a:srgbClr val="0070C0"/>
    </a:hlink>
    <a:folHlink>
      <a:srgbClr val="7030A0"/>
    </a:folHlink>
  </a:clrScheme>
  <a:fontScheme name="Piraeus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orporatecolors">
    <a:dk1>
      <a:sysClr val="windowText" lastClr="000000"/>
    </a:dk1>
    <a:lt1>
      <a:sysClr val="window" lastClr="FFFFFF"/>
    </a:lt1>
    <a:dk2>
      <a:srgbClr val="003C96"/>
    </a:dk2>
    <a:lt2>
      <a:srgbClr val="D9D9D9"/>
    </a:lt2>
    <a:accent1>
      <a:srgbClr val="3A73AE"/>
    </a:accent1>
    <a:accent2>
      <a:srgbClr val="D1AA70"/>
    </a:accent2>
    <a:accent3>
      <a:srgbClr val="464646"/>
    </a:accent3>
    <a:accent4>
      <a:srgbClr val="FAB414"/>
    </a:accent4>
    <a:accent5>
      <a:srgbClr val="FF0000"/>
    </a:accent5>
    <a:accent6>
      <a:srgbClr val="00B050"/>
    </a:accent6>
    <a:hlink>
      <a:srgbClr val="0070C0"/>
    </a:hlink>
    <a:folHlink>
      <a:srgbClr val="7030A0"/>
    </a:folHlink>
  </a:clrScheme>
  <a:fontScheme name="Piraeus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3E579B13FAF247ABC28155753603E4" ma:contentTypeVersion="9" ma:contentTypeDescription="Create a new document." ma:contentTypeScope="" ma:versionID="528e67b42b1d3e74eb9fd0ff09ee86d9">
  <xsd:schema xmlns:xsd="http://www.w3.org/2001/XMLSchema" xmlns:xs="http://www.w3.org/2001/XMLSchema" xmlns:p="http://schemas.microsoft.com/office/2006/metadata/properties" xmlns:ns2="ab64be8f-a0a2-413a-81d2-c9001901314f" targetNamespace="http://schemas.microsoft.com/office/2006/metadata/properties" ma:root="true" ma:fieldsID="14f87bdfe59ed82dd52a036566dad4fe" ns2:_="">
    <xsd:import namespace="ab64be8f-a0a2-413a-81d2-c90019013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4be8f-a0a2-413a-81d2-c90019013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AAB0-8DE1-4361-B3D8-091A784C8ECF}">
  <ds:schemaRefs>
    <ds:schemaRef ds:uri="http://schemas.microsoft.com/sharepoint/v3/contenttype/forms"/>
  </ds:schemaRefs>
</ds:datastoreItem>
</file>

<file path=customXml/itemProps2.xml><?xml version="1.0" encoding="utf-8"?>
<ds:datastoreItem xmlns:ds="http://schemas.openxmlformats.org/officeDocument/2006/customXml" ds:itemID="{4B17407F-7CAB-4006-8147-D73B79D82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4be8f-a0a2-413a-81d2-c90019013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F8FE3-3DC8-4C91-961F-E6DDA9F0019F}">
  <ds:schemaRefs>
    <ds:schemaRef ds:uri="http://schemas.microsoft.com/office/2006/documentManagement/types"/>
    <ds:schemaRef ds:uri="http://purl.org/dc/terms/"/>
    <ds:schemaRef ds:uri="http://schemas.openxmlformats.org/package/2006/metadata/core-properties"/>
    <ds:schemaRef ds:uri="http://purl.org/dc/dcmitype/"/>
    <ds:schemaRef ds:uri="ab64be8f-a0a2-413a-81d2-c9001901314f"/>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B7435D5-A541-44F0-8D13-8C1E629E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6706</Words>
  <Characters>36215</Characters>
  <Application>Microsoft Office Word</Application>
  <DocSecurity>0</DocSecurity>
  <Lines>301</Lines>
  <Paragraphs>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Μπερμπάτη Χρυσάνθη</dc:creator>
  <cp:lastModifiedBy>Δαμαλάς Ξενοφών</cp:lastModifiedBy>
  <cp:revision>3</cp:revision>
  <cp:lastPrinted>2021-03-16T10:34:00Z</cp:lastPrinted>
  <dcterms:created xsi:type="dcterms:W3CDTF">2021-03-16T14:09:00Z</dcterms:created>
  <dcterms:modified xsi:type="dcterms:W3CDTF">2021-03-16T14:51:00Z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2056465934</vt:i4>
  </property>
  <property fmtid="{D5CDD505-2E9C-101B-9397-08002B2CF9AE}" pid="3" name="ContentTypeId">
    <vt:lpwstr>0x010100403E579B13FAF247ABC28155753603E4</vt:lpwstr>
  </property>
</Properties>
</file>