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1494" w14:textId="2088242C" w:rsidR="00954E97" w:rsidRPr="00954E97" w:rsidRDefault="00954E97" w:rsidP="00954E97">
      <w:pPr>
        <w:tabs>
          <w:tab w:val="left" w:pos="-142"/>
        </w:tabs>
        <w:ind w:right="-454"/>
        <w:rPr>
          <w:rFonts w:ascii="Eurobank Sans" w:hAnsi="Eurobank Sans"/>
          <w:b/>
          <w:color w:val="021342"/>
        </w:rPr>
      </w:pPr>
      <w:r w:rsidRPr="00954E97">
        <w:rPr>
          <w:rFonts w:ascii="Eurobank Sans" w:hAnsi="Eurobank Sans"/>
          <w:b/>
          <w:color w:val="021342"/>
        </w:rPr>
        <w:t>Αθήνα, 3 Ιουνίου 2022</w:t>
      </w:r>
    </w:p>
    <w:p w14:paraId="0BA6268F" w14:textId="77777777" w:rsidR="00954E97" w:rsidRPr="00954E97" w:rsidRDefault="00954E97" w:rsidP="00954E97">
      <w:pPr>
        <w:tabs>
          <w:tab w:val="left" w:pos="-142"/>
        </w:tabs>
        <w:ind w:right="-454"/>
        <w:rPr>
          <w:rFonts w:ascii="Eurobank Sans" w:hAnsi="Eurobank Sans"/>
          <w:b/>
          <w:color w:val="021342"/>
        </w:rPr>
      </w:pPr>
    </w:p>
    <w:p w14:paraId="0F543016" w14:textId="77777777" w:rsidR="00CB5D2D" w:rsidRDefault="00954E97" w:rsidP="00954E97">
      <w:pPr>
        <w:tabs>
          <w:tab w:val="left" w:pos="-142"/>
        </w:tabs>
        <w:ind w:right="-454"/>
        <w:rPr>
          <w:rFonts w:ascii="Eurobank Sans" w:hAnsi="Eurobank Sans"/>
          <w:b/>
          <w:color w:val="021342"/>
        </w:rPr>
      </w:pPr>
      <w:r w:rsidRPr="00954E97">
        <w:rPr>
          <w:rFonts w:ascii="Eurobank Sans" w:hAnsi="Eurobank Sans"/>
          <w:bCs/>
          <w:color w:val="021342"/>
        </w:rPr>
        <w:t>Η Διεύθυνση Οικονομικής Ανάλυσης και Έρευνας Διεθνών Κεφαλαιαγορών της Eurobank εξέδωσε μελέτη με τίτλο</w:t>
      </w:r>
      <w:r w:rsidRPr="00954E97">
        <w:rPr>
          <w:rFonts w:ascii="Eurobank Sans" w:hAnsi="Eurobank Sans"/>
          <w:b/>
          <w:color w:val="021342"/>
        </w:rPr>
        <w:t xml:space="preserve"> «Ενδιάμεση Έκθεση για την Ανάπτυξη της ελληνικής οικονομίας το 2022»</w:t>
      </w:r>
      <w:r>
        <w:rPr>
          <w:rFonts w:ascii="Eurobank Sans" w:hAnsi="Eurobank Sans"/>
          <w:b/>
          <w:color w:val="021342"/>
        </w:rPr>
        <w:t>.</w:t>
      </w:r>
      <w:r w:rsidRPr="00954E97">
        <w:rPr>
          <w:rFonts w:ascii="Eurobank Sans" w:hAnsi="Eurobank Sans"/>
          <w:b/>
          <w:color w:val="021342"/>
        </w:rPr>
        <w:t xml:space="preserve"> </w:t>
      </w:r>
      <w:r w:rsidRPr="00CB5D2D">
        <w:rPr>
          <w:rFonts w:ascii="Eurobank Sans" w:hAnsi="Eurobank Sans"/>
          <w:bCs/>
          <w:color w:val="021342"/>
        </w:rPr>
        <w:t xml:space="preserve">Συγγραφέας της μελέτης είναι </w:t>
      </w:r>
      <w:r w:rsidR="00CB5D2D" w:rsidRPr="00CB5D2D">
        <w:rPr>
          <w:rFonts w:ascii="Eurobank Sans" w:hAnsi="Eurobank Sans"/>
          <w:bCs/>
          <w:color w:val="021342"/>
        </w:rPr>
        <w:t>ο</w:t>
      </w:r>
      <w:r w:rsidR="00CB5D2D">
        <w:rPr>
          <w:rFonts w:ascii="Eurobank Sans" w:hAnsi="Eurobank Sans"/>
          <w:b/>
          <w:color w:val="021342"/>
        </w:rPr>
        <w:t xml:space="preserve"> </w:t>
      </w:r>
      <w:r w:rsidRPr="00954E97">
        <w:rPr>
          <w:rFonts w:ascii="Eurobank Sans" w:hAnsi="Eurobank Sans"/>
          <w:b/>
          <w:color w:val="021342"/>
        </w:rPr>
        <w:t xml:space="preserve">Δρ. Τάσος </w:t>
      </w:r>
      <w:proofErr w:type="spellStart"/>
      <w:r w:rsidRPr="00954E97">
        <w:rPr>
          <w:rFonts w:ascii="Eurobank Sans" w:hAnsi="Eurobank Sans"/>
          <w:b/>
          <w:color w:val="021342"/>
        </w:rPr>
        <w:t>Αναστασάτος</w:t>
      </w:r>
      <w:proofErr w:type="spellEnd"/>
      <w:r w:rsidRPr="00954E97">
        <w:rPr>
          <w:rFonts w:ascii="Eurobank Sans" w:hAnsi="Eurobank Sans"/>
          <w:b/>
          <w:color w:val="021342"/>
        </w:rPr>
        <w:t xml:space="preserve">, </w:t>
      </w:r>
      <w:r w:rsidRPr="00CB5D2D">
        <w:rPr>
          <w:rFonts w:ascii="Eurobank Sans" w:hAnsi="Eurobank Sans"/>
          <w:bCs/>
          <w:color w:val="021342"/>
        </w:rPr>
        <w:t>Επικεφαλής Οικονομολόγος της Eurobank και Πρόεδρος του Επιστημονικού Συμβουλίου της ΕΕΤ.</w:t>
      </w:r>
    </w:p>
    <w:p w14:paraId="54123512" w14:textId="77777777" w:rsidR="00CB5D2D" w:rsidRDefault="00CB5D2D" w:rsidP="00954E97">
      <w:pPr>
        <w:tabs>
          <w:tab w:val="left" w:pos="-142"/>
        </w:tabs>
        <w:ind w:right="-454"/>
        <w:rPr>
          <w:rFonts w:ascii="Eurobank Sans" w:hAnsi="Eurobank Sans"/>
          <w:b/>
          <w:color w:val="021342"/>
        </w:rPr>
      </w:pPr>
    </w:p>
    <w:p w14:paraId="6735A6BA" w14:textId="2BC5887F" w:rsidR="0032545C" w:rsidRPr="00954E97" w:rsidRDefault="00A51D0B" w:rsidP="00954E97">
      <w:pPr>
        <w:tabs>
          <w:tab w:val="left" w:pos="-142"/>
        </w:tabs>
        <w:ind w:right="-454"/>
        <w:rPr>
          <w:rFonts w:ascii="Eurobank Sans" w:hAnsi="Eurobank Sans"/>
          <w:b/>
          <w:color w:val="021342"/>
        </w:rPr>
      </w:pPr>
      <w:r w:rsidRPr="00954E97">
        <w:rPr>
          <w:rFonts w:ascii="Eurobank Sans" w:hAnsi="Eurobank Sans"/>
          <w:b/>
          <w:color w:val="021342"/>
        </w:rPr>
        <w:t>Περίληψη Μελέτης</w:t>
      </w:r>
    </w:p>
    <w:p w14:paraId="69A2CF7B" w14:textId="6879FB45" w:rsidR="00B543B8" w:rsidRPr="00954E97" w:rsidRDefault="00B543B8" w:rsidP="00B543B8">
      <w:pPr>
        <w:tabs>
          <w:tab w:val="left" w:pos="-142"/>
        </w:tabs>
        <w:ind w:left="-142" w:right="-454"/>
        <w:rPr>
          <w:rFonts w:ascii="Eurobank Sans" w:hAnsi="Eurobank Sans"/>
          <w:color w:val="021342"/>
        </w:rPr>
      </w:pPr>
      <w:r w:rsidRPr="00954E97">
        <w:rPr>
          <w:rFonts w:ascii="Eurobank Sans" w:hAnsi="Eurobank Sans"/>
          <w:color w:val="021342"/>
        </w:rPr>
        <w:t xml:space="preserve">Η ελληνική οικονομία, μετά από μια γρήγορη ανάκαμψη το 2021, είχε εισέλθει στο 2022 με </w:t>
      </w:r>
      <w:r w:rsidR="005B1521">
        <w:rPr>
          <w:rFonts w:ascii="Eurobank Sans" w:hAnsi="Eurobank Sans"/>
          <w:color w:val="021342"/>
        </w:rPr>
        <w:t xml:space="preserve">τους πρόδρομους </w:t>
      </w:r>
      <w:r w:rsidRPr="00954E97">
        <w:rPr>
          <w:rFonts w:ascii="Eurobank Sans" w:hAnsi="Eurobank Sans"/>
          <w:color w:val="021342"/>
        </w:rPr>
        <w:t>δείκτες να σηματοδοτούν προοπτικές δυναμικής ανάπτυξης</w:t>
      </w:r>
      <w:r w:rsidR="008E186E">
        <w:rPr>
          <w:rFonts w:ascii="Eurobank Sans" w:hAnsi="Eurobank Sans"/>
          <w:color w:val="021342"/>
        </w:rPr>
        <w:t xml:space="preserve">. Ωστόσο, </w:t>
      </w:r>
      <w:r w:rsidRPr="00954E97">
        <w:rPr>
          <w:rFonts w:ascii="Eurobank Sans" w:hAnsi="Eurobank Sans"/>
          <w:color w:val="021342"/>
        </w:rPr>
        <w:t>ο πόλεμος στην Ουκρανία</w:t>
      </w:r>
      <w:r w:rsidR="008E186E">
        <w:rPr>
          <w:rFonts w:ascii="Eurobank Sans" w:hAnsi="Eurobank Sans"/>
          <w:color w:val="021342"/>
        </w:rPr>
        <w:t>,</w:t>
      </w:r>
      <w:r w:rsidRPr="00954E97">
        <w:rPr>
          <w:rFonts w:ascii="Eurobank Sans" w:hAnsi="Eurobank Sans"/>
          <w:color w:val="021342"/>
        </w:rPr>
        <w:t xml:space="preserve"> όπως και σε ολόκληρη την ευρωπαϊκή οικονομία, επηρεάζει αρνητικά τις βραχυπρόθεσμες και μεσοπρόθεσμες προοπτικές</w:t>
      </w:r>
      <w:r w:rsidR="00AE0BDC">
        <w:rPr>
          <w:rFonts w:ascii="Eurobank Sans" w:hAnsi="Eurobank Sans"/>
          <w:color w:val="021342"/>
        </w:rPr>
        <w:t>,</w:t>
      </w:r>
      <w:r w:rsidRPr="00954E97">
        <w:rPr>
          <w:rFonts w:ascii="Eurobank Sans" w:hAnsi="Eurobank Sans"/>
          <w:color w:val="021342"/>
        </w:rPr>
        <w:t xml:space="preserve"> προκαλ</w:t>
      </w:r>
      <w:r w:rsidR="00AE0BDC">
        <w:rPr>
          <w:rFonts w:ascii="Eurobank Sans" w:hAnsi="Eurobank Sans"/>
          <w:color w:val="021342"/>
        </w:rPr>
        <w:t>ώντας</w:t>
      </w:r>
      <w:r w:rsidRPr="00954E97">
        <w:rPr>
          <w:rFonts w:ascii="Eurobank Sans" w:hAnsi="Eurobank Sans"/>
          <w:color w:val="021342"/>
        </w:rPr>
        <w:t xml:space="preserve"> επιβράδυνση της ανάπτυξης βραχυπρόθεσμα και αύξηση του πληθωρισμού</w:t>
      </w:r>
      <w:r w:rsidR="00AE0BDC" w:rsidRPr="00AE0BDC">
        <w:rPr>
          <w:rFonts w:ascii="Eurobank Sans" w:hAnsi="Eurobank Sans"/>
          <w:color w:val="021342"/>
        </w:rPr>
        <w:t xml:space="preserve"> </w:t>
      </w:r>
      <w:r w:rsidR="00AE0BDC" w:rsidRPr="00954E97">
        <w:rPr>
          <w:rFonts w:ascii="Eurobank Sans" w:hAnsi="Eurobank Sans"/>
          <w:color w:val="021342"/>
        </w:rPr>
        <w:t>σε σύγκριση με προηγούμενες προβλέψεις</w:t>
      </w:r>
      <w:r w:rsidR="00AE0BDC">
        <w:rPr>
          <w:rFonts w:ascii="Eurobank Sans" w:hAnsi="Eurobank Sans"/>
          <w:color w:val="021342"/>
        </w:rPr>
        <w:t>, Ω</w:t>
      </w:r>
      <w:r w:rsidRPr="00954E97">
        <w:rPr>
          <w:rFonts w:ascii="Eurobank Sans" w:hAnsi="Eurobank Sans"/>
          <w:color w:val="021342"/>
        </w:rPr>
        <w:t>στόσο</w:t>
      </w:r>
      <w:r w:rsidR="00AE0BDC">
        <w:rPr>
          <w:rFonts w:ascii="Eurobank Sans" w:hAnsi="Eurobank Sans"/>
          <w:color w:val="021342"/>
        </w:rPr>
        <w:t>,</w:t>
      </w:r>
      <w:r w:rsidRPr="00954E97">
        <w:rPr>
          <w:rFonts w:ascii="Eurobank Sans" w:hAnsi="Eurobank Sans"/>
          <w:color w:val="021342"/>
        </w:rPr>
        <w:t xml:space="preserve"> δεν ανατρέ</w:t>
      </w:r>
      <w:r w:rsidR="00AE0BDC">
        <w:rPr>
          <w:rFonts w:ascii="Eurobank Sans" w:hAnsi="Eurobank Sans"/>
          <w:color w:val="021342"/>
        </w:rPr>
        <w:t xml:space="preserve">πει τις </w:t>
      </w:r>
      <w:r w:rsidR="001A17DB">
        <w:rPr>
          <w:rFonts w:ascii="Eurobank Sans" w:hAnsi="Eurobank Sans"/>
          <w:color w:val="021342"/>
        </w:rPr>
        <w:t>δυνατότητες πραγμάτωσης</w:t>
      </w:r>
      <w:r w:rsidR="009F6A98">
        <w:rPr>
          <w:rFonts w:ascii="Eurobank Sans" w:hAnsi="Eurobank Sans"/>
          <w:color w:val="021342"/>
        </w:rPr>
        <w:t xml:space="preserve"> του</w:t>
      </w:r>
      <w:r w:rsidRPr="00954E97">
        <w:rPr>
          <w:rFonts w:ascii="Eurobank Sans" w:hAnsi="Eurobank Sans"/>
          <w:color w:val="021342"/>
        </w:rPr>
        <w:t xml:space="preserve"> δυναμικού της ελληνικής οικονομίας μακροπρόθεσμα. Το μέγεθος του αντίκτυπου θα εξαρτηθεί από πολλούς παράγοντες, όπως η διάρκεια του πολέμου, το τελικό μείγμα και η διάρκεια των κυρώσεων της ΕΕ και τα μέτρα νομισματικής και δημοσιονομικής πολιτικής. Ο άμεσος αντίκτυπος της κρίσης </w:t>
      </w:r>
      <w:r w:rsidR="00C33CFC">
        <w:rPr>
          <w:rFonts w:ascii="Eurobank Sans" w:hAnsi="Eurobank Sans"/>
          <w:color w:val="021342"/>
        </w:rPr>
        <w:t>είναι</w:t>
      </w:r>
      <w:r w:rsidRPr="00954E97">
        <w:rPr>
          <w:rFonts w:ascii="Eurobank Sans" w:hAnsi="Eurobank Sans"/>
          <w:color w:val="021342"/>
        </w:rPr>
        <w:t xml:space="preserve"> περιορ</w:t>
      </w:r>
      <w:r w:rsidR="00C33CFC">
        <w:rPr>
          <w:rFonts w:ascii="Eurobank Sans" w:hAnsi="Eurobank Sans"/>
          <w:color w:val="021342"/>
        </w:rPr>
        <w:t>ισμένος</w:t>
      </w:r>
      <w:r w:rsidRPr="00954E97">
        <w:rPr>
          <w:rFonts w:ascii="Eurobank Sans" w:hAnsi="Eurobank Sans"/>
          <w:color w:val="021342"/>
        </w:rPr>
        <w:t xml:space="preserve"> καθώς οι εμπορικές, τουριστικές και οικονομικές σχέσεις με τη Ρωσία και την Ουκρανία είναι σχετικά μικρές: οι εξαγωγές αγαθών και υπηρεσιών προς τη Ρωσία και την Ουκρανία συνολικά αντιστοιχούσαν το 2019 περίπου στο 2,1% του συνόλου, (το ίδιο μερίδιο για τα έσοδα από τον τουρισμό) και καμία ελληνική τράπεζα δεν έχει αξιόλογη παρουσία σε αυτές τις χώρες. Ωστόσο, υπάρχουν αξιοσημείωτα κανάλια έμμεσου αντίκτυπου, όπως (α) η διαταραχή που προκλήθηκε από τον πόλεμο στις αλυσίδες εφοδιασμού, την εξωτερική ζήτηση και τους </w:t>
      </w:r>
      <w:r w:rsidR="00593FCD" w:rsidRPr="00954E97">
        <w:rPr>
          <w:rFonts w:ascii="Eurobank Sans" w:hAnsi="Eurobank Sans"/>
          <w:color w:val="021342"/>
        </w:rPr>
        <w:t xml:space="preserve">δρόμους </w:t>
      </w:r>
      <w:r w:rsidR="00593FCD">
        <w:rPr>
          <w:rFonts w:ascii="Eurobank Sans" w:hAnsi="Eurobank Sans"/>
          <w:color w:val="021342"/>
        </w:rPr>
        <w:t xml:space="preserve">του </w:t>
      </w:r>
      <w:r w:rsidRPr="00954E97">
        <w:rPr>
          <w:rFonts w:ascii="Eurobank Sans" w:hAnsi="Eurobank Sans"/>
          <w:color w:val="021342"/>
        </w:rPr>
        <w:t>παγκόσμιου εμπορ</w:t>
      </w:r>
      <w:r w:rsidR="00593FCD">
        <w:rPr>
          <w:rFonts w:ascii="Eurobank Sans" w:hAnsi="Eurobank Sans"/>
          <w:color w:val="021342"/>
        </w:rPr>
        <w:t>ίου</w:t>
      </w:r>
      <w:r w:rsidRPr="00954E97">
        <w:rPr>
          <w:rFonts w:ascii="Eurobank Sans" w:hAnsi="Eurobank Sans"/>
          <w:color w:val="021342"/>
        </w:rPr>
        <w:t xml:space="preserve"> (β) </w:t>
      </w:r>
      <w:r w:rsidR="00E55715">
        <w:rPr>
          <w:rFonts w:ascii="Eurobank Sans" w:hAnsi="Eurobank Sans"/>
          <w:color w:val="021342"/>
        </w:rPr>
        <w:t>η διαταραχή σ</w:t>
      </w:r>
      <w:r w:rsidRPr="00954E97">
        <w:rPr>
          <w:rFonts w:ascii="Eurobank Sans" w:hAnsi="Eurobank Sans"/>
          <w:color w:val="021342"/>
        </w:rPr>
        <w:t xml:space="preserve">την πλευρά της προσφοράς από τις αυξήσεις των τιμών της ενέργειας: η Ελλάδα έχει έκθεση </w:t>
      </w:r>
      <w:r w:rsidR="00593FCD">
        <w:rPr>
          <w:rFonts w:ascii="Eurobank Sans" w:hAnsi="Eurobank Sans"/>
          <w:color w:val="021342"/>
        </w:rPr>
        <w:t>σ</w:t>
      </w:r>
      <w:r w:rsidRPr="00954E97">
        <w:rPr>
          <w:rFonts w:ascii="Eurobank Sans" w:hAnsi="Eurobank Sans"/>
          <w:color w:val="021342"/>
        </w:rPr>
        <w:t>τις ρωσικές εισαγωγές στο ενεργειακό της μείγμα καθώς το 73% του εισαγόμενου πετρελαίου και το 39% του φυσικού αερίου το 2020 προέρχονταν από τη Ρωσία. Αν και υπάρχουν εναλλακτικές πηγές για την υποκατάσταση των ρωσικών εισαγωγών, έτσι ώστε να μην κινδυνεύει η ενεργειακή ασφάλεια, οι αυξήσεις στις τιμές της ενέργειας τροφοδοτού</w:t>
      </w:r>
      <w:r w:rsidR="007175FB">
        <w:rPr>
          <w:rFonts w:ascii="Eurobank Sans" w:hAnsi="Eurobank Sans"/>
          <w:color w:val="021342"/>
        </w:rPr>
        <w:t>ν δευτερογενώς αυξήσεις σ</w:t>
      </w:r>
      <w:r w:rsidRPr="00954E97">
        <w:rPr>
          <w:rFonts w:ascii="Eurobank Sans" w:hAnsi="Eurobank Sans"/>
          <w:color w:val="021342"/>
        </w:rPr>
        <w:t xml:space="preserve">τις τιμές των αγαθών και των υπηρεσιών. Αυτό επιδεινώνει τις πληθωριστικές πιέσεις, οι οποίες είχαν ήδη </w:t>
      </w:r>
      <w:r w:rsidR="00D872FE">
        <w:rPr>
          <w:rFonts w:ascii="Eurobank Sans" w:hAnsi="Eurobank Sans"/>
          <w:color w:val="021342"/>
        </w:rPr>
        <w:t>εκδηλω</w:t>
      </w:r>
      <w:r w:rsidRPr="00954E97">
        <w:rPr>
          <w:rFonts w:ascii="Eurobank Sans" w:hAnsi="Eurobank Sans"/>
          <w:color w:val="021342"/>
        </w:rPr>
        <w:t xml:space="preserve">θεί πριν από τον πόλεμο ως αποτέλεσμα εξαιρετικά </w:t>
      </w:r>
      <w:proofErr w:type="spellStart"/>
      <w:r w:rsidRPr="00954E97">
        <w:rPr>
          <w:rFonts w:ascii="Eurobank Sans" w:hAnsi="Eurobank Sans"/>
          <w:color w:val="021342"/>
        </w:rPr>
        <w:t>διευκολυντικών</w:t>
      </w:r>
      <w:proofErr w:type="spellEnd"/>
      <w:r w:rsidRPr="00954E97">
        <w:rPr>
          <w:rFonts w:ascii="Eurobank Sans" w:hAnsi="Eurobank Sans"/>
          <w:color w:val="021342"/>
        </w:rPr>
        <w:t xml:space="preserve"> νομισματικών και δημοσιονομικών πολιτικών στον απόηχο της πανδημίας. Ο πληθωρισμός, με τη σειρά του, διαβρώνει τα διαθέσιμα εισοδήματα και ασκεί πιέσεις στο ισοζύγιο τρεχουσών συναλλαγών</w:t>
      </w:r>
      <w:r w:rsidR="00C16BAC">
        <w:rPr>
          <w:rFonts w:ascii="Eurobank Sans" w:hAnsi="Eurobank Sans"/>
          <w:color w:val="021342"/>
        </w:rPr>
        <w:t>,</w:t>
      </w:r>
      <w:r w:rsidRPr="00954E97">
        <w:rPr>
          <w:rFonts w:ascii="Eurobank Sans" w:hAnsi="Eurobank Sans"/>
          <w:color w:val="021342"/>
        </w:rPr>
        <w:t xml:space="preserve"> ιδίως δεδομένου ότι σημαντικό μέρος των εισαγωγών αφορά ενεργειακά προϊόντα</w:t>
      </w:r>
      <w:r w:rsidR="00D118D4">
        <w:rPr>
          <w:rFonts w:ascii="Eurobank Sans" w:hAnsi="Eurobank Sans"/>
          <w:color w:val="021342"/>
        </w:rPr>
        <w:t>,</w:t>
      </w:r>
      <w:r w:rsidRPr="00954E97">
        <w:rPr>
          <w:rFonts w:ascii="Eurobank Sans" w:hAnsi="Eurobank Sans"/>
          <w:color w:val="021342"/>
        </w:rPr>
        <w:t xml:space="preserve"> γ) η αυξημένη αβεβαιότητα μπορεί να προκαλέσει βραχυπρόθεσμη αναβολή των καταναλωτικών και επενδυτικών αποφάσεων</w:t>
      </w:r>
      <w:r w:rsidR="00C45631" w:rsidRPr="00C45631">
        <w:rPr>
          <w:rFonts w:ascii="Eurobank Sans" w:hAnsi="Eurobank Sans"/>
          <w:color w:val="021342"/>
        </w:rPr>
        <w:t xml:space="preserve"> </w:t>
      </w:r>
      <w:r w:rsidR="00C45631">
        <w:rPr>
          <w:rFonts w:ascii="Eurobank Sans" w:hAnsi="Eurobank Sans"/>
          <w:color w:val="021342"/>
        </w:rPr>
        <w:t>και να ασκήσει πιέσεις στο κόστος δανεισμού για Κράτος και ιδιωτικό τομέα</w:t>
      </w:r>
      <w:r w:rsidRPr="00954E97">
        <w:rPr>
          <w:rFonts w:ascii="Eurobank Sans" w:hAnsi="Eurobank Sans"/>
          <w:color w:val="021342"/>
        </w:rPr>
        <w:t>.</w:t>
      </w:r>
    </w:p>
    <w:p w14:paraId="25FE9107" w14:textId="77777777" w:rsidR="00B543B8" w:rsidRPr="00954E97" w:rsidRDefault="00B543B8" w:rsidP="00B543B8">
      <w:pPr>
        <w:tabs>
          <w:tab w:val="left" w:pos="-142"/>
        </w:tabs>
        <w:ind w:left="-142" w:right="-454"/>
        <w:rPr>
          <w:rFonts w:ascii="Eurobank Sans" w:hAnsi="Eurobank Sans"/>
          <w:color w:val="021342"/>
        </w:rPr>
      </w:pPr>
    </w:p>
    <w:p w14:paraId="71090D8A" w14:textId="5C70C16B" w:rsidR="00DC2ACD" w:rsidRDefault="00B543B8" w:rsidP="00B543B8">
      <w:pPr>
        <w:tabs>
          <w:tab w:val="left" w:pos="-142"/>
        </w:tabs>
        <w:ind w:left="-142" w:right="-454"/>
        <w:rPr>
          <w:rFonts w:ascii="Eurobank Sans" w:hAnsi="Eurobank Sans"/>
          <w:color w:val="021342"/>
        </w:rPr>
      </w:pPr>
      <w:r w:rsidRPr="00954E97">
        <w:rPr>
          <w:rFonts w:ascii="Eurobank Sans" w:hAnsi="Eurobank Sans"/>
          <w:color w:val="021342"/>
        </w:rPr>
        <w:t>Από την άλλη πλευρά, η ελληνική οικονομία έχει σημαντικά αντίβαρα που υποστηρίζουν τις βραχυπρόθεσμες προοπτικές: (α) υπάρχουν προσδοκίες για μια ισχυρή τουριστική περίοδο</w:t>
      </w:r>
      <w:r w:rsidR="00C16BAC">
        <w:rPr>
          <w:rFonts w:ascii="Eurobank Sans" w:hAnsi="Eurobank Sans"/>
          <w:color w:val="021342"/>
        </w:rPr>
        <w:t>, με την προϋπόθεση της αποφυγής κλιμάκωσης</w:t>
      </w:r>
      <w:r w:rsidRPr="00954E97">
        <w:rPr>
          <w:rFonts w:ascii="Eurobank Sans" w:hAnsi="Eurobank Sans"/>
          <w:color w:val="021342"/>
        </w:rPr>
        <w:t xml:space="preserve"> της κατάστασης στην Ουκρανία. Επίσης, οι τελευταίες πληροφορίες δείχνουν αμείωτη δραστηριότητα σε </w:t>
      </w:r>
      <w:r w:rsidR="00DC0366">
        <w:rPr>
          <w:rFonts w:ascii="Eurobank Sans" w:hAnsi="Eurobank Sans"/>
          <w:color w:val="021342"/>
        </w:rPr>
        <w:t>αρκετούς</w:t>
      </w:r>
      <w:r w:rsidRPr="00954E97">
        <w:rPr>
          <w:rFonts w:ascii="Eurobank Sans" w:hAnsi="Eurobank Sans"/>
          <w:color w:val="021342"/>
        </w:rPr>
        <w:t xml:space="preserve"> άλλους τομείς, (β) η Ελλάδα θα επωφεληθεί από </w:t>
      </w:r>
      <w:r w:rsidR="00DC0366">
        <w:rPr>
          <w:rFonts w:ascii="Eurobank Sans" w:hAnsi="Eurobank Sans"/>
          <w:color w:val="021342"/>
        </w:rPr>
        <w:t>Ταμείο Ανάκαμψης και Ανθεκτικότητας</w:t>
      </w:r>
      <w:r w:rsidRPr="00954E97">
        <w:rPr>
          <w:rFonts w:ascii="Eurobank Sans" w:hAnsi="Eurobank Sans"/>
          <w:color w:val="021342"/>
        </w:rPr>
        <w:t xml:space="preserve"> (μεγαλύτερος δικαιούχος στην ΕΕ ως ποσοστό του ΑΕΠ της), </w:t>
      </w:r>
      <w:r w:rsidR="00DC0366">
        <w:rPr>
          <w:rFonts w:ascii="Eurobank Sans" w:hAnsi="Eurobank Sans"/>
          <w:color w:val="021342"/>
        </w:rPr>
        <w:t xml:space="preserve">το ΕΣΠΑ </w:t>
      </w:r>
      <w:r w:rsidRPr="00954E97">
        <w:rPr>
          <w:rFonts w:ascii="Eurobank Sans" w:hAnsi="Eurobank Sans"/>
          <w:color w:val="021342"/>
        </w:rPr>
        <w:t xml:space="preserve">2021-2027 και κεφάλαια της </w:t>
      </w:r>
      <w:proofErr w:type="spellStart"/>
      <w:r w:rsidRPr="00954E97">
        <w:rPr>
          <w:rFonts w:ascii="Eurobank Sans" w:hAnsi="Eurobank Sans"/>
          <w:color w:val="021342"/>
        </w:rPr>
        <w:t>ΕΤΕπ</w:t>
      </w:r>
      <w:proofErr w:type="spellEnd"/>
      <w:r w:rsidRPr="00954E97">
        <w:rPr>
          <w:rFonts w:ascii="Eurobank Sans" w:hAnsi="Eurobank Sans"/>
          <w:color w:val="021342"/>
        </w:rPr>
        <w:t>, συνολικά περίπου 90 δις € διαθέσιμα τα επόμενα 5 χρόνια. Αυτά τα κεφάλαια, μαζί με τ</w:t>
      </w:r>
      <w:r w:rsidR="00AF06D7">
        <w:rPr>
          <w:rFonts w:ascii="Eurobank Sans" w:hAnsi="Eurobank Sans"/>
          <w:color w:val="021342"/>
        </w:rPr>
        <w:t>α</w:t>
      </w:r>
      <w:r w:rsidRPr="00954E97">
        <w:rPr>
          <w:rFonts w:ascii="Eurobank Sans" w:hAnsi="Eurobank Sans"/>
          <w:color w:val="021342"/>
        </w:rPr>
        <w:t xml:space="preserve"> κινητοποι</w:t>
      </w:r>
      <w:r w:rsidR="00DC0366">
        <w:rPr>
          <w:rFonts w:ascii="Eurobank Sans" w:hAnsi="Eurobank Sans"/>
          <w:color w:val="021342"/>
        </w:rPr>
        <w:t>ού</w:t>
      </w:r>
      <w:r w:rsidR="00AF06D7">
        <w:rPr>
          <w:rFonts w:ascii="Eurobank Sans" w:hAnsi="Eurobank Sans"/>
          <w:color w:val="021342"/>
        </w:rPr>
        <w:t>με</w:t>
      </w:r>
      <w:r w:rsidRPr="00954E97">
        <w:rPr>
          <w:rFonts w:ascii="Eurobank Sans" w:hAnsi="Eurobank Sans"/>
          <w:color w:val="021342"/>
        </w:rPr>
        <w:t>ν</w:t>
      </w:r>
      <w:r w:rsidR="00AF06D7">
        <w:rPr>
          <w:rFonts w:ascii="Eurobank Sans" w:hAnsi="Eurobank Sans"/>
          <w:color w:val="021342"/>
        </w:rPr>
        <w:t>α</w:t>
      </w:r>
      <w:r w:rsidRPr="00954E97">
        <w:rPr>
          <w:rFonts w:ascii="Eurobank Sans" w:hAnsi="Eurobank Sans"/>
          <w:color w:val="021342"/>
        </w:rPr>
        <w:t xml:space="preserve"> ιδιωτικ</w:t>
      </w:r>
      <w:r w:rsidR="00AF06D7">
        <w:rPr>
          <w:rFonts w:ascii="Eurobank Sans" w:hAnsi="Eurobank Sans"/>
          <w:color w:val="021342"/>
        </w:rPr>
        <w:t>ά</w:t>
      </w:r>
      <w:r w:rsidRPr="00954E97">
        <w:rPr>
          <w:rFonts w:ascii="Eurobank Sans" w:hAnsi="Eurobank Sans"/>
          <w:color w:val="021342"/>
        </w:rPr>
        <w:t xml:space="preserve"> και τραπεζικ</w:t>
      </w:r>
      <w:r w:rsidR="00AF06D7">
        <w:rPr>
          <w:rFonts w:ascii="Eurobank Sans" w:hAnsi="Eurobank Sans"/>
          <w:color w:val="021342"/>
        </w:rPr>
        <w:t>ά</w:t>
      </w:r>
      <w:r w:rsidRPr="00954E97">
        <w:rPr>
          <w:rFonts w:ascii="Eurobank Sans" w:hAnsi="Eurobank Sans"/>
          <w:color w:val="021342"/>
        </w:rPr>
        <w:t xml:space="preserve"> κεφάλαι</w:t>
      </w:r>
      <w:r w:rsidR="00AF06D7">
        <w:rPr>
          <w:rFonts w:ascii="Eurobank Sans" w:hAnsi="Eurobank Sans"/>
          <w:color w:val="021342"/>
        </w:rPr>
        <w:t>α</w:t>
      </w:r>
      <w:r w:rsidRPr="00954E97">
        <w:rPr>
          <w:rFonts w:ascii="Eurobank Sans" w:hAnsi="Eurobank Sans"/>
          <w:color w:val="021342"/>
        </w:rPr>
        <w:t xml:space="preserve">, </w:t>
      </w:r>
      <w:r w:rsidR="00E31F27">
        <w:rPr>
          <w:rFonts w:ascii="Eurobank Sans" w:hAnsi="Eurobank Sans"/>
          <w:color w:val="021342"/>
        </w:rPr>
        <w:t xml:space="preserve">έχουν τη δυνατότητα, </w:t>
      </w:r>
      <w:r w:rsidRPr="00954E97">
        <w:rPr>
          <w:rFonts w:ascii="Eurobank Sans" w:hAnsi="Eurobank Sans"/>
          <w:color w:val="021342"/>
        </w:rPr>
        <w:t xml:space="preserve">όχι μόνο </w:t>
      </w:r>
      <w:r w:rsidR="00E31F27">
        <w:rPr>
          <w:rFonts w:ascii="Eurobank Sans" w:hAnsi="Eurobank Sans"/>
          <w:color w:val="021342"/>
        </w:rPr>
        <w:t xml:space="preserve">να </w:t>
      </w:r>
      <w:r w:rsidRPr="00954E97">
        <w:rPr>
          <w:rFonts w:ascii="Eurobank Sans" w:hAnsi="Eurobank Sans"/>
          <w:color w:val="021342"/>
        </w:rPr>
        <w:t xml:space="preserve">παρέχουν μεγάλη ρευστότητα, αλλά </w:t>
      </w:r>
      <w:r w:rsidR="00E31F27">
        <w:rPr>
          <w:rFonts w:ascii="Eurobank Sans" w:hAnsi="Eurobank Sans"/>
          <w:color w:val="021342"/>
        </w:rPr>
        <w:t xml:space="preserve">να ενεργοποιήσουν </w:t>
      </w:r>
      <w:r w:rsidRPr="00954E97">
        <w:rPr>
          <w:rFonts w:ascii="Eurobank Sans" w:hAnsi="Eurobank Sans"/>
          <w:color w:val="021342"/>
        </w:rPr>
        <w:t xml:space="preserve">τον μετασχηματισμό του παραγωγικού μοντέλου της Ελλάδας </w:t>
      </w:r>
      <w:r w:rsidR="00E31F27">
        <w:rPr>
          <w:rFonts w:ascii="Eurobank Sans" w:hAnsi="Eurobank Sans"/>
          <w:color w:val="021342"/>
        </w:rPr>
        <w:t>προς την κατεύθυνση</w:t>
      </w:r>
      <w:r w:rsidRPr="00954E97">
        <w:rPr>
          <w:rFonts w:ascii="Eurobank Sans" w:hAnsi="Eurobank Sans"/>
          <w:color w:val="021342"/>
        </w:rPr>
        <w:t xml:space="preserve"> βιώσιμη</w:t>
      </w:r>
      <w:r w:rsidR="00E31F27">
        <w:rPr>
          <w:rFonts w:ascii="Eurobank Sans" w:hAnsi="Eurobank Sans"/>
          <w:color w:val="021342"/>
        </w:rPr>
        <w:t>ς</w:t>
      </w:r>
      <w:r w:rsidRPr="00954E97">
        <w:rPr>
          <w:rFonts w:ascii="Eurobank Sans" w:hAnsi="Eurobank Sans"/>
          <w:color w:val="021342"/>
        </w:rPr>
        <w:t xml:space="preserve"> ανάπτυξη</w:t>
      </w:r>
      <w:r w:rsidR="001571E3">
        <w:rPr>
          <w:rFonts w:ascii="Eurobank Sans" w:hAnsi="Eurobank Sans"/>
          <w:color w:val="021342"/>
        </w:rPr>
        <w:t>ς</w:t>
      </w:r>
      <w:r w:rsidRPr="00954E97">
        <w:rPr>
          <w:rFonts w:ascii="Eurobank Sans" w:hAnsi="Eurobank Sans"/>
          <w:color w:val="021342"/>
        </w:rPr>
        <w:t xml:space="preserve"> </w:t>
      </w:r>
      <w:r w:rsidR="001571E3">
        <w:rPr>
          <w:rFonts w:ascii="Eurobank Sans" w:hAnsi="Eurobank Sans"/>
          <w:color w:val="021342"/>
        </w:rPr>
        <w:t>βασισμέν</w:t>
      </w:r>
      <w:r w:rsidR="00701159">
        <w:rPr>
          <w:rFonts w:ascii="Eurobank Sans" w:hAnsi="Eurobank Sans"/>
          <w:color w:val="021342"/>
        </w:rPr>
        <w:t>ης</w:t>
      </w:r>
      <w:r w:rsidR="001571E3">
        <w:rPr>
          <w:rFonts w:ascii="Eurobank Sans" w:hAnsi="Eurobank Sans"/>
          <w:color w:val="021342"/>
        </w:rPr>
        <w:t xml:space="preserve"> σε</w:t>
      </w:r>
      <w:r w:rsidRPr="00954E97">
        <w:rPr>
          <w:rFonts w:ascii="Eurobank Sans" w:hAnsi="Eurobank Sans"/>
          <w:color w:val="021342"/>
        </w:rPr>
        <w:t xml:space="preserve"> εξαγωγές και </w:t>
      </w:r>
      <w:r w:rsidRPr="00954E97">
        <w:rPr>
          <w:rFonts w:ascii="Eurobank Sans" w:hAnsi="Eurobank Sans"/>
          <w:color w:val="021342"/>
        </w:rPr>
        <w:lastRenderedPageBreak/>
        <w:t xml:space="preserve">επενδύσεις. </w:t>
      </w:r>
      <w:r w:rsidR="001571E3">
        <w:rPr>
          <w:rFonts w:ascii="Eurobank Sans" w:hAnsi="Eurobank Sans"/>
          <w:color w:val="021342"/>
        </w:rPr>
        <w:t>Ωστόσο, για</w:t>
      </w:r>
      <w:r w:rsidRPr="00954E97">
        <w:rPr>
          <w:rFonts w:ascii="Eurobank Sans" w:hAnsi="Eurobank Sans"/>
          <w:color w:val="021342"/>
        </w:rPr>
        <w:t xml:space="preserve"> να επιτευχθεί </w:t>
      </w:r>
      <w:r w:rsidR="001571E3">
        <w:rPr>
          <w:rFonts w:ascii="Eurobank Sans" w:hAnsi="Eurobank Sans"/>
          <w:color w:val="021342"/>
        </w:rPr>
        <w:t>αυτό, είναι σημαντικό</w:t>
      </w:r>
      <w:r w:rsidR="00301E5A">
        <w:rPr>
          <w:rFonts w:ascii="Eurobank Sans" w:hAnsi="Eurobank Sans"/>
          <w:color w:val="021342"/>
        </w:rPr>
        <w:t xml:space="preserve"> οι πόροι να διοχετευτούν αποτελεσματικά</w:t>
      </w:r>
      <w:r w:rsidRPr="00954E97">
        <w:rPr>
          <w:rFonts w:ascii="Eurobank Sans" w:hAnsi="Eurobank Sans"/>
          <w:color w:val="021342"/>
        </w:rPr>
        <w:t xml:space="preserve"> σε επιλεγμένες οικονομικές δραστηριότητες, ιδίως της πράσινης μετάβασης και της </w:t>
      </w:r>
      <w:proofErr w:type="spellStart"/>
      <w:r w:rsidRPr="00954E97">
        <w:rPr>
          <w:rFonts w:ascii="Eurobank Sans" w:hAnsi="Eurobank Sans"/>
          <w:color w:val="021342"/>
        </w:rPr>
        <w:t>ψηφιοποίησης</w:t>
      </w:r>
      <w:proofErr w:type="spellEnd"/>
      <w:r w:rsidRPr="00954E97">
        <w:rPr>
          <w:rFonts w:ascii="Eurobank Sans" w:hAnsi="Eurobank Sans"/>
          <w:color w:val="021342"/>
        </w:rPr>
        <w:t xml:space="preserve">, καθώς και </w:t>
      </w:r>
      <w:r w:rsidR="00301E5A">
        <w:rPr>
          <w:rFonts w:ascii="Eurobank Sans" w:hAnsi="Eurobank Sans"/>
          <w:color w:val="021342"/>
        </w:rPr>
        <w:t xml:space="preserve">να συνοδευτούν από </w:t>
      </w:r>
      <w:proofErr w:type="spellStart"/>
      <w:r w:rsidR="00301E5A">
        <w:rPr>
          <w:rFonts w:ascii="Eurobank Sans" w:hAnsi="Eurobank Sans"/>
          <w:color w:val="021342"/>
        </w:rPr>
        <w:t>εμπροσθοβαρή</w:t>
      </w:r>
      <w:proofErr w:type="spellEnd"/>
      <w:r w:rsidR="00301E5A">
        <w:rPr>
          <w:rFonts w:ascii="Eurobank Sans" w:hAnsi="Eurobank Sans"/>
          <w:color w:val="021342"/>
        </w:rPr>
        <w:t xml:space="preserve"> και φιλόδοξη εφαρμογή των</w:t>
      </w:r>
      <w:r w:rsidRPr="00954E97">
        <w:rPr>
          <w:rFonts w:ascii="Eurobank Sans" w:hAnsi="Eurobank Sans"/>
          <w:color w:val="021342"/>
        </w:rPr>
        <w:t xml:space="preserve"> διαρθρωτικών μεταρρυθμίσεων που συνοδεύουν την εκταμίευση των κεφαλαίων. (γ) η οικονομία απολαμβάνει μια πολύ άνετη θέση ρευστότητας: περίπου 34 δισ. ευρώ νέων καταθέσεων συσσωρεύτηκαν μ</w:t>
      </w:r>
      <w:r w:rsidR="00C1342C">
        <w:rPr>
          <w:rFonts w:ascii="Eurobank Sans" w:hAnsi="Eurobank Sans"/>
          <w:color w:val="021342"/>
        </w:rPr>
        <w:t>έσα</w:t>
      </w:r>
      <w:r w:rsidRPr="00954E97">
        <w:rPr>
          <w:rFonts w:ascii="Eurobank Sans" w:hAnsi="Eurobank Sans"/>
          <w:color w:val="021342"/>
        </w:rPr>
        <w:t xml:space="preserve"> στην πανδημία</w:t>
      </w:r>
      <w:r w:rsidR="00C1342C">
        <w:rPr>
          <w:rFonts w:ascii="Eurobank Sans" w:hAnsi="Eurobank Sans"/>
          <w:color w:val="021342"/>
        </w:rPr>
        <w:t xml:space="preserve"> με τη βοήθεια των δημοσιονομικών μέτρων στήριξης</w:t>
      </w:r>
      <w:r w:rsidRPr="00954E97">
        <w:rPr>
          <w:rFonts w:ascii="Eurobank Sans" w:hAnsi="Eurobank Sans"/>
          <w:color w:val="021342"/>
        </w:rPr>
        <w:t xml:space="preserve">, το κράτος έχει </w:t>
      </w:r>
      <w:r w:rsidR="00C1342C">
        <w:rPr>
          <w:rFonts w:ascii="Eurobank Sans" w:hAnsi="Eurobank Sans"/>
          <w:color w:val="021342"/>
        </w:rPr>
        <w:t>μαξιλάρι ρευστότητας περί τα €3</w:t>
      </w:r>
      <w:r w:rsidRPr="00954E97">
        <w:rPr>
          <w:rFonts w:ascii="Eurobank Sans" w:hAnsi="Eurobank Sans"/>
          <w:color w:val="021342"/>
        </w:rPr>
        <w:t xml:space="preserve">8 δισ. ευρώ, </w:t>
      </w:r>
      <w:r w:rsidR="00D54396">
        <w:rPr>
          <w:rFonts w:ascii="Eurobank Sans" w:hAnsi="Eurobank Sans"/>
          <w:color w:val="021342"/>
        </w:rPr>
        <w:t>περίπου</w:t>
      </w:r>
      <w:r w:rsidRPr="00954E97">
        <w:rPr>
          <w:rFonts w:ascii="Eurobank Sans" w:hAnsi="Eurobank Sans"/>
          <w:color w:val="021342"/>
        </w:rPr>
        <w:t xml:space="preserve"> </w:t>
      </w:r>
      <w:r w:rsidR="00D54396">
        <w:rPr>
          <w:rFonts w:ascii="Eurobank Sans" w:hAnsi="Eurobank Sans"/>
          <w:color w:val="021342"/>
        </w:rPr>
        <w:t>€</w:t>
      </w:r>
      <w:r w:rsidRPr="00954E97">
        <w:rPr>
          <w:rFonts w:ascii="Eurobank Sans" w:hAnsi="Eurobank Sans"/>
          <w:color w:val="021342"/>
        </w:rPr>
        <w:t xml:space="preserve">38,5 δισ. ΟΕΔ </w:t>
      </w:r>
      <w:r w:rsidR="00D54396">
        <w:rPr>
          <w:rFonts w:ascii="Eurobank Sans" w:hAnsi="Eurobank Sans"/>
          <w:color w:val="021342"/>
        </w:rPr>
        <w:t xml:space="preserve">θα </w:t>
      </w:r>
      <w:proofErr w:type="spellStart"/>
      <w:r w:rsidR="00D54396">
        <w:rPr>
          <w:rFonts w:ascii="Eurobank Sans" w:hAnsi="Eurobank Sans"/>
          <w:color w:val="021342"/>
        </w:rPr>
        <w:t>επαν</w:t>
      </w:r>
      <w:r w:rsidR="00F32181">
        <w:rPr>
          <w:rFonts w:ascii="Eurobank Sans" w:hAnsi="Eurobank Sans"/>
          <w:color w:val="021342"/>
        </w:rPr>
        <w:t>επεν</w:t>
      </w:r>
      <w:r w:rsidR="00D54396">
        <w:rPr>
          <w:rFonts w:ascii="Eurobank Sans" w:hAnsi="Eurobank Sans"/>
          <w:color w:val="021342"/>
        </w:rPr>
        <w:t>δύονται</w:t>
      </w:r>
      <w:proofErr w:type="spellEnd"/>
      <w:r w:rsidR="00D54396">
        <w:rPr>
          <w:rFonts w:ascii="Eurobank Sans" w:hAnsi="Eurobank Sans"/>
          <w:color w:val="021342"/>
        </w:rPr>
        <w:t xml:space="preserve"> ευέλικτα στο Πανδημικό Πρόγραμμα Ρευστότητας</w:t>
      </w:r>
      <w:r w:rsidRPr="00954E97">
        <w:rPr>
          <w:rFonts w:ascii="Eurobank Sans" w:hAnsi="Eurobank Sans"/>
          <w:color w:val="021342"/>
        </w:rPr>
        <w:t xml:space="preserve"> της ΕΚΤ μέχρι το τέλος του 2024 υποστηρίζοντας το κόστος χρηματοδότησης και οι τράπεζες αντλούν ρευστότητα από </w:t>
      </w:r>
      <w:r w:rsidR="00432BE3">
        <w:rPr>
          <w:rFonts w:ascii="Eurobank Sans" w:hAnsi="Eurobank Sans"/>
          <w:color w:val="021342"/>
        </w:rPr>
        <w:t xml:space="preserve">τις </w:t>
      </w:r>
      <w:proofErr w:type="spellStart"/>
      <w:r w:rsidR="00432BE3">
        <w:rPr>
          <w:rFonts w:ascii="Eurobank Sans" w:hAnsi="Eurobank Sans"/>
          <w:color w:val="021342"/>
        </w:rPr>
        <w:t>στοχευμένες</w:t>
      </w:r>
      <w:proofErr w:type="spellEnd"/>
      <w:r w:rsidR="00432BE3">
        <w:rPr>
          <w:rFonts w:ascii="Eurobank Sans" w:hAnsi="Eurobank Sans"/>
          <w:color w:val="021342"/>
        </w:rPr>
        <w:t xml:space="preserve"> πράξεις παροχής ρευστότητας</w:t>
      </w:r>
      <w:r w:rsidRPr="00954E97">
        <w:rPr>
          <w:rFonts w:ascii="Eurobank Sans" w:hAnsi="Eurobank Sans"/>
          <w:color w:val="021342"/>
        </w:rPr>
        <w:t xml:space="preserve"> </w:t>
      </w:r>
      <w:r w:rsidR="00432BE3" w:rsidRPr="00432BE3">
        <w:rPr>
          <w:rFonts w:ascii="Eurobank Sans" w:hAnsi="Eurobank Sans"/>
          <w:color w:val="021342"/>
        </w:rPr>
        <w:t>(</w:t>
      </w:r>
      <w:r w:rsidRPr="00954E97">
        <w:rPr>
          <w:rFonts w:ascii="Eurobank Sans" w:hAnsi="Eurobank Sans"/>
          <w:color w:val="021342"/>
          <w:lang w:val="en-US"/>
        </w:rPr>
        <w:t>TLTRO</w:t>
      </w:r>
      <w:r w:rsidR="00432BE3">
        <w:rPr>
          <w:rFonts w:ascii="Eurobank Sans" w:hAnsi="Eurobank Sans"/>
          <w:color w:val="021342"/>
          <w:lang w:val="en-US"/>
        </w:rPr>
        <w:t>s</w:t>
      </w:r>
      <w:r w:rsidR="00432BE3" w:rsidRPr="00432BE3">
        <w:rPr>
          <w:rFonts w:ascii="Eurobank Sans" w:hAnsi="Eurobank Sans"/>
          <w:color w:val="021342"/>
        </w:rPr>
        <w:t>)</w:t>
      </w:r>
      <w:r w:rsidR="001121D6">
        <w:rPr>
          <w:rFonts w:ascii="Eurobank Sans" w:hAnsi="Eurobank Sans"/>
          <w:color w:val="021342"/>
        </w:rPr>
        <w:t>,</w:t>
      </w:r>
      <w:r w:rsidRPr="00954E97">
        <w:rPr>
          <w:rFonts w:ascii="Eurobank Sans" w:hAnsi="Eurobank Sans"/>
          <w:color w:val="021342"/>
        </w:rPr>
        <w:t xml:space="preserve"> (δ) εφαρμόζονται δημοσιονομικά μέτρα για τη μείωση του ενεργειακού κόστους για τα νοικοκυριά και τις επιχειρήσεις </w:t>
      </w:r>
      <w:r w:rsidR="001121D6">
        <w:rPr>
          <w:rFonts w:ascii="Eurobank Sans" w:hAnsi="Eurobank Sans"/>
          <w:color w:val="021342"/>
        </w:rPr>
        <w:t xml:space="preserve">αξίας </w:t>
      </w:r>
      <w:r w:rsidRPr="00954E97">
        <w:rPr>
          <w:rFonts w:ascii="Eurobank Sans" w:hAnsi="Eurobank Sans"/>
          <w:color w:val="021342"/>
        </w:rPr>
        <w:t xml:space="preserve">περίπου </w:t>
      </w:r>
      <w:r w:rsidR="00C03723">
        <w:rPr>
          <w:rFonts w:ascii="Eurobank Sans" w:hAnsi="Eurobank Sans"/>
          <w:color w:val="021342"/>
        </w:rPr>
        <w:t>€7.5</w:t>
      </w:r>
      <w:r w:rsidRPr="00954E97">
        <w:rPr>
          <w:rFonts w:ascii="Eurobank Sans" w:hAnsi="Eurobank Sans"/>
          <w:color w:val="021342"/>
        </w:rPr>
        <w:t xml:space="preserve"> δισ. ευρώ έως τον Μάιο του 2022. Αυτά έρχονται </w:t>
      </w:r>
      <w:r w:rsidR="00DD2977">
        <w:rPr>
          <w:rFonts w:ascii="Eurobank Sans" w:hAnsi="Eurobank Sans"/>
          <w:color w:val="021342"/>
        </w:rPr>
        <w:t>επιπλέον των μέτρων</w:t>
      </w:r>
      <w:r w:rsidRPr="00954E97">
        <w:rPr>
          <w:rFonts w:ascii="Eurobank Sans" w:hAnsi="Eurobank Sans"/>
          <w:color w:val="021342"/>
        </w:rPr>
        <w:t xml:space="preserve"> </w:t>
      </w:r>
      <w:r w:rsidRPr="00954E97">
        <w:rPr>
          <w:rFonts w:ascii="Eurobank Sans" w:hAnsi="Eurobank Sans" w:cs="Eurobank Sans"/>
          <w:color w:val="021342"/>
        </w:rPr>
        <w:t>στήριξης</w:t>
      </w:r>
      <w:r w:rsidRPr="00954E97">
        <w:rPr>
          <w:rFonts w:ascii="Eurobank Sans" w:hAnsi="Eurobank Sans"/>
          <w:color w:val="021342"/>
        </w:rPr>
        <w:t xml:space="preserve"> </w:t>
      </w:r>
      <w:r w:rsidRPr="00954E97">
        <w:rPr>
          <w:rFonts w:ascii="Eurobank Sans" w:hAnsi="Eurobank Sans" w:cs="Eurobank Sans"/>
          <w:color w:val="021342"/>
        </w:rPr>
        <w:t>που</w:t>
      </w:r>
      <w:r w:rsidRPr="00954E97">
        <w:rPr>
          <w:rFonts w:ascii="Eurobank Sans" w:hAnsi="Eurobank Sans"/>
          <w:color w:val="021342"/>
        </w:rPr>
        <w:t xml:space="preserve"> </w:t>
      </w:r>
      <w:r w:rsidRPr="00954E97">
        <w:rPr>
          <w:rFonts w:ascii="Eurobank Sans" w:hAnsi="Eurobank Sans" w:cs="Eurobank Sans"/>
          <w:color w:val="021342"/>
        </w:rPr>
        <w:t>σχετίζονται</w:t>
      </w:r>
      <w:r w:rsidRPr="00954E97">
        <w:rPr>
          <w:rFonts w:ascii="Eurobank Sans" w:hAnsi="Eurobank Sans"/>
          <w:color w:val="021342"/>
        </w:rPr>
        <w:t xml:space="preserve"> </w:t>
      </w:r>
      <w:r w:rsidRPr="00954E97">
        <w:rPr>
          <w:rFonts w:ascii="Eurobank Sans" w:hAnsi="Eurobank Sans" w:cs="Eurobank Sans"/>
          <w:color w:val="021342"/>
        </w:rPr>
        <w:t>με</w:t>
      </w:r>
      <w:r w:rsidRPr="00954E97">
        <w:rPr>
          <w:rFonts w:ascii="Eurobank Sans" w:hAnsi="Eurobank Sans"/>
          <w:color w:val="021342"/>
        </w:rPr>
        <w:t xml:space="preserve"> </w:t>
      </w:r>
      <w:r w:rsidRPr="00954E97">
        <w:rPr>
          <w:rFonts w:ascii="Eurobank Sans" w:hAnsi="Eurobank Sans" w:cs="Eurobank Sans"/>
          <w:color w:val="021342"/>
        </w:rPr>
        <w:t>τον</w:t>
      </w:r>
      <w:r w:rsidRPr="00954E97">
        <w:rPr>
          <w:rFonts w:ascii="Eurobank Sans" w:hAnsi="Eurobank Sans"/>
          <w:color w:val="021342"/>
        </w:rPr>
        <w:t xml:space="preserve"> </w:t>
      </w:r>
      <w:r w:rsidRPr="00954E97">
        <w:rPr>
          <w:rFonts w:ascii="Eurobank Sans" w:hAnsi="Eurobank Sans"/>
          <w:color w:val="021342"/>
          <w:lang w:val="en-US"/>
        </w:rPr>
        <w:t>Covid</w:t>
      </w:r>
      <w:r w:rsidRPr="00954E97">
        <w:rPr>
          <w:rFonts w:ascii="Eurobank Sans" w:hAnsi="Eurobank Sans"/>
          <w:color w:val="021342"/>
        </w:rPr>
        <w:t xml:space="preserve">-19 </w:t>
      </w:r>
      <w:r w:rsidRPr="00954E97">
        <w:rPr>
          <w:rFonts w:ascii="Eurobank Sans" w:hAnsi="Eurobank Sans" w:cs="Eurobank Sans"/>
          <w:color w:val="021342"/>
        </w:rPr>
        <w:t>ύψους</w:t>
      </w:r>
      <w:r w:rsidRPr="00954E97">
        <w:rPr>
          <w:rFonts w:ascii="Eurobank Sans" w:hAnsi="Eurobank Sans"/>
          <w:color w:val="021342"/>
        </w:rPr>
        <w:t xml:space="preserve"> </w:t>
      </w:r>
      <w:r w:rsidR="00DD2977">
        <w:rPr>
          <w:rFonts w:ascii="Eurobank Sans" w:hAnsi="Eurobank Sans"/>
          <w:color w:val="021342"/>
        </w:rPr>
        <w:t>€</w:t>
      </w:r>
      <w:r w:rsidRPr="00954E97">
        <w:rPr>
          <w:rFonts w:ascii="Eurobank Sans" w:hAnsi="Eurobank Sans"/>
          <w:color w:val="021342"/>
        </w:rPr>
        <w:t xml:space="preserve">43,3 </w:t>
      </w:r>
      <w:r w:rsidRPr="00954E97">
        <w:rPr>
          <w:rFonts w:ascii="Eurobank Sans" w:hAnsi="Eurobank Sans" w:cs="Eurobank Sans"/>
          <w:color w:val="021342"/>
        </w:rPr>
        <w:t>δισ</w:t>
      </w:r>
      <w:r w:rsidRPr="00954E97">
        <w:rPr>
          <w:rFonts w:ascii="Eurobank Sans" w:hAnsi="Eurobank Sans"/>
          <w:color w:val="021342"/>
        </w:rPr>
        <w:t xml:space="preserve">. </w:t>
      </w:r>
      <w:r w:rsidRPr="00954E97">
        <w:rPr>
          <w:rFonts w:ascii="Eurobank Sans" w:hAnsi="Eurobank Sans" w:cs="Eurobank Sans"/>
          <w:color w:val="021342"/>
        </w:rPr>
        <w:t>ευρώ</w:t>
      </w:r>
      <w:r w:rsidRPr="00954E97">
        <w:rPr>
          <w:rFonts w:ascii="Eurobank Sans" w:hAnsi="Eurobank Sans"/>
          <w:color w:val="021342"/>
        </w:rPr>
        <w:t xml:space="preserve"> </w:t>
      </w:r>
      <w:r w:rsidR="00DD2977">
        <w:rPr>
          <w:rFonts w:ascii="Eurobank Sans" w:hAnsi="Eurobank Sans" w:cs="Eurobank Sans"/>
          <w:color w:val="021342"/>
        </w:rPr>
        <w:t>μεταξύ</w:t>
      </w:r>
      <w:r w:rsidRPr="00954E97">
        <w:rPr>
          <w:rFonts w:ascii="Eurobank Sans" w:hAnsi="Eurobank Sans"/>
          <w:color w:val="021342"/>
        </w:rPr>
        <w:t xml:space="preserve"> 2020-2022, </w:t>
      </w:r>
      <w:r w:rsidRPr="00954E97">
        <w:rPr>
          <w:rFonts w:ascii="Eurobank Sans" w:hAnsi="Eurobank Sans" w:cs="Eurobank Sans"/>
          <w:color w:val="021342"/>
        </w:rPr>
        <w:t>εκ</w:t>
      </w:r>
      <w:r w:rsidRPr="00954E97">
        <w:rPr>
          <w:rFonts w:ascii="Eurobank Sans" w:hAnsi="Eurobank Sans"/>
          <w:color w:val="021342"/>
        </w:rPr>
        <w:t xml:space="preserve"> </w:t>
      </w:r>
      <w:r w:rsidRPr="00954E97">
        <w:rPr>
          <w:rFonts w:ascii="Eurobank Sans" w:hAnsi="Eurobank Sans" w:cs="Eurobank Sans"/>
          <w:color w:val="021342"/>
        </w:rPr>
        <w:t>των</w:t>
      </w:r>
      <w:r w:rsidRPr="00954E97">
        <w:rPr>
          <w:rFonts w:ascii="Eurobank Sans" w:hAnsi="Eurobank Sans"/>
          <w:color w:val="021342"/>
        </w:rPr>
        <w:t xml:space="preserve"> </w:t>
      </w:r>
      <w:r w:rsidRPr="00954E97">
        <w:rPr>
          <w:rFonts w:ascii="Eurobank Sans" w:hAnsi="Eurobank Sans" w:cs="Eurobank Sans"/>
          <w:color w:val="021342"/>
        </w:rPr>
        <w:t>οποίων</w:t>
      </w:r>
      <w:r w:rsidRPr="00954E97">
        <w:rPr>
          <w:rFonts w:ascii="Eurobank Sans" w:hAnsi="Eurobank Sans"/>
          <w:color w:val="021342"/>
        </w:rPr>
        <w:t xml:space="preserve"> </w:t>
      </w:r>
      <w:r w:rsidRPr="00954E97">
        <w:rPr>
          <w:rFonts w:ascii="Eurobank Sans" w:hAnsi="Eurobank Sans" w:cs="Eurobank Sans"/>
          <w:color w:val="021342"/>
        </w:rPr>
        <w:t>τα</w:t>
      </w:r>
      <w:r w:rsidRPr="00954E97">
        <w:rPr>
          <w:rFonts w:ascii="Eurobank Sans" w:hAnsi="Eurobank Sans"/>
          <w:color w:val="021342"/>
        </w:rPr>
        <w:t xml:space="preserve"> </w:t>
      </w:r>
      <w:r w:rsidR="00DD2977">
        <w:rPr>
          <w:rFonts w:ascii="Eurobank Sans" w:hAnsi="Eurobank Sans"/>
          <w:color w:val="021342"/>
        </w:rPr>
        <w:t>€</w:t>
      </w:r>
      <w:r w:rsidRPr="00954E97">
        <w:rPr>
          <w:rFonts w:ascii="Eurobank Sans" w:hAnsi="Eurobank Sans"/>
          <w:color w:val="021342"/>
        </w:rPr>
        <w:t xml:space="preserve">4,1 </w:t>
      </w:r>
      <w:r w:rsidRPr="00954E97">
        <w:rPr>
          <w:rFonts w:ascii="Eurobank Sans" w:hAnsi="Eurobank Sans" w:cs="Eurobank Sans"/>
          <w:color w:val="021342"/>
        </w:rPr>
        <w:t>δισ</w:t>
      </w:r>
      <w:r w:rsidRPr="00954E97">
        <w:rPr>
          <w:rFonts w:ascii="Eurobank Sans" w:hAnsi="Eurobank Sans"/>
          <w:color w:val="021342"/>
        </w:rPr>
        <w:t xml:space="preserve">. </w:t>
      </w:r>
      <w:r w:rsidRPr="00954E97">
        <w:rPr>
          <w:rFonts w:ascii="Eurobank Sans" w:hAnsi="Eurobank Sans" w:cs="Eurobank Sans"/>
          <w:color w:val="021342"/>
        </w:rPr>
        <w:t>αφορούν</w:t>
      </w:r>
      <w:r w:rsidRPr="00954E97">
        <w:rPr>
          <w:rFonts w:ascii="Eurobank Sans" w:hAnsi="Eurobank Sans"/>
          <w:color w:val="021342"/>
        </w:rPr>
        <w:t xml:space="preserve"> </w:t>
      </w:r>
      <w:r w:rsidRPr="00954E97">
        <w:rPr>
          <w:rFonts w:ascii="Eurobank Sans" w:hAnsi="Eurobank Sans" w:cs="Eurobank Sans"/>
          <w:color w:val="021342"/>
        </w:rPr>
        <w:t>το</w:t>
      </w:r>
      <w:r w:rsidRPr="00954E97">
        <w:rPr>
          <w:rFonts w:ascii="Eurobank Sans" w:hAnsi="Eurobank Sans"/>
          <w:color w:val="021342"/>
        </w:rPr>
        <w:t xml:space="preserve"> 2022. </w:t>
      </w:r>
      <w:r w:rsidR="00DC2ACD">
        <w:rPr>
          <w:rFonts w:ascii="Eurobank Sans" w:hAnsi="Eurobank Sans"/>
          <w:color w:val="021342"/>
        </w:rPr>
        <w:t xml:space="preserve">Παρά ταύτα, είναι σημαντικό να τονιστεί η ανάγκη </w:t>
      </w:r>
      <w:r w:rsidR="00310C71">
        <w:rPr>
          <w:rFonts w:ascii="Eurobank Sans" w:hAnsi="Eurobank Sans"/>
          <w:color w:val="021342"/>
        </w:rPr>
        <w:t xml:space="preserve">ελέγχου του δημοσιονομικού ελλείμματος το 2022 και </w:t>
      </w:r>
      <w:r w:rsidR="00DC2ACD">
        <w:rPr>
          <w:rFonts w:ascii="Eurobank Sans" w:hAnsi="Eurobank Sans"/>
          <w:color w:val="021342"/>
        </w:rPr>
        <w:t xml:space="preserve">επιστροφής σε </w:t>
      </w:r>
      <w:r w:rsidR="00310C71">
        <w:rPr>
          <w:rFonts w:ascii="Eurobank Sans" w:hAnsi="Eurobank Sans"/>
          <w:color w:val="021342"/>
        </w:rPr>
        <w:t>πρωτογενές</w:t>
      </w:r>
      <w:r w:rsidR="00CC5608">
        <w:rPr>
          <w:rFonts w:ascii="Eurobank Sans" w:hAnsi="Eurobank Sans"/>
          <w:color w:val="021342"/>
        </w:rPr>
        <w:t xml:space="preserve"> δημοσιονομικ</w:t>
      </w:r>
      <w:r w:rsidR="00310C71">
        <w:rPr>
          <w:rFonts w:ascii="Eurobank Sans" w:hAnsi="Eurobank Sans"/>
          <w:color w:val="021342"/>
        </w:rPr>
        <w:t>ό</w:t>
      </w:r>
      <w:r w:rsidR="00CC5608">
        <w:rPr>
          <w:rFonts w:ascii="Eurobank Sans" w:hAnsi="Eurobank Sans"/>
          <w:color w:val="021342"/>
        </w:rPr>
        <w:t xml:space="preserve"> πλε</w:t>
      </w:r>
      <w:r w:rsidR="00310C71">
        <w:rPr>
          <w:rFonts w:ascii="Eurobank Sans" w:hAnsi="Eurobank Sans"/>
          <w:color w:val="021342"/>
        </w:rPr>
        <w:t xml:space="preserve">όνασμα το 2023 ώστε να </w:t>
      </w:r>
      <w:r w:rsidR="00D11645">
        <w:rPr>
          <w:rFonts w:ascii="Eurobank Sans" w:hAnsi="Eurobank Sans"/>
          <w:color w:val="021342"/>
        </w:rPr>
        <w:t>διατηρηθεί η εμπιστοσύνη των αγορών, ιδίως λόγω των επιδεινούμενων χρηματοοικονομικών συνθηκών, και να διευκολυνθεί η ανάκτηση επενδυτικής βαθμίδας από την ελληνική οικονομία</w:t>
      </w:r>
      <w:r w:rsidR="00D1648E">
        <w:rPr>
          <w:rFonts w:ascii="Eurobank Sans" w:hAnsi="Eurobank Sans"/>
          <w:color w:val="021342"/>
        </w:rPr>
        <w:t xml:space="preserve">. Η δημοσιονομική σταθερότητα είναι επίσης προϋπόθεση για τον έλεγχο του ελλείμματος του Ισοζυγίου Τρεχουσών Συναλλαγών </w:t>
      </w:r>
      <w:r w:rsidR="00EF2D8E">
        <w:rPr>
          <w:rFonts w:ascii="Eurobank Sans" w:hAnsi="Eurobank Sans"/>
          <w:color w:val="021342"/>
        </w:rPr>
        <w:t>το οποίο παρουσιάζει τάσεις μεγέθυνσης.</w:t>
      </w:r>
    </w:p>
    <w:p w14:paraId="2EA63F6A" w14:textId="11F81BE6" w:rsidR="00B543B8" w:rsidRPr="00954E97" w:rsidRDefault="00EF2D8E" w:rsidP="00B543B8">
      <w:pPr>
        <w:tabs>
          <w:tab w:val="left" w:pos="-142"/>
        </w:tabs>
        <w:ind w:left="-142" w:right="-454"/>
        <w:rPr>
          <w:rFonts w:ascii="Eurobank Sans" w:hAnsi="Eurobank Sans"/>
          <w:color w:val="021342"/>
        </w:rPr>
      </w:pPr>
      <w:r>
        <w:rPr>
          <w:rFonts w:ascii="Eurobank Sans" w:hAnsi="Eurobank Sans"/>
          <w:color w:val="021342"/>
        </w:rPr>
        <w:t xml:space="preserve">Η ύπαρξη μεγάλης </w:t>
      </w:r>
      <w:r w:rsidR="00FA137C">
        <w:rPr>
          <w:rFonts w:ascii="Eurobank Sans" w:hAnsi="Eurobank Sans"/>
          <w:color w:val="021342"/>
        </w:rPr>
        <w:t>αβεβαιότητας</w:t>
      </w:r>
      <w:r>
        <w:rPr>
          <w:rFonts w:ascii="Eurobank Sans" w:hAnsi="Eurobank Sans"/>
          <w:color w:val="021342"/>
        </w:rPr>
        <w:t xml:space="preserve"> λόγω του πολέμου στην Ουκρανία καθιστά αναγκαία την εκτίμηση εναλλακτικών σεναρίων</w:t>
      </w:r>
      <w:r w:rsidR="00FA137C">
        <w:rPr>
          <w:rFonts w:ascii="Eurobank Sans" w:hAnsi="Eurobank Sans"/>
          <w:color w:val="021342"/>
        </w:rPr>
        <w:t>. Τ</w:t>
      </w:r>
      <w:r w:rsidR="00B543B8" w:rsidRPr="00954E97">
        <w:rPr>
          <w:rFonts w:ascii="Eurobank Sans" w:hAnsi="Eurobank Sans"/>
          <w:color w:val="021342"/>
        </w:rPr>
        <w:t>ο βασικό σενάριο προσεγγίζει το σοκ προσφοράς που προκλήθηκε από τις αυξήσεις των τιμών της ενέργειας υπό τις παραδοχές ότι δεν θα κλιμακωθεί ο πόλεμος</w:t>
      </w:r>
      <w:r w:rsidR="008A483E">
        <w:rPr>
          <w:rFonts w:ascii="Eurobank Sans" w:hAnsi="Eurobank Sans"/>
          <w:color w:val="021342"/>
        </w:rPr>
        <w:t xml:space="preserve"> και ότι</w:t>
      </w:r>
      <w:r w:rsidR="00B543B8" w:rsidRPr="00954E97">
        <w:rPr>
          <w:rFonts w:ascii="Eurobank Sans" w:hAnsi="Eurobank Sans"/>
          <w:color w:val="021342"/>
        </w:rPr>
        <w:t xml:space="preserve"> </w:t>
      </w:r>
      <w:r w:rsidR="008A483E">
        <w:rPr>
          <w:rFonts w:ascii="Eurobank Sans" w:hAnsi="Eurobank Sans"/>
          <w:color w:val="021342"/>
        </w:rPr>
        <w:t>θα παραμείνουν στα επίπεδα που ήταν</w:t>
      </w:r>
      <w:r w:rsidR="008A483E" w:rsidRPr="00954E97">
        <w:rPr>
          <w:rFonts w:ascii="Eurobank Sans" w:hAnsi="Eurobank Sans"/>
          <w:color w:val="021342"/>
        </w:rPr>
        <w:t xml:space="preserve"> γνωστ</w:t>
      </w:r>
      <w:r w:rsidR="008A483E">
        <w:rPr>
          <w:rFonts w:ascii="Eurobank Sans" w:hAnsi="Eurobank Sans"/>
          <w:color w:val="021342"/>
        </w:rPr>
        <w:t>ά</w:t>
      </w:r>
      <w:r w:rsidR="008A483E" w:rsidRPr="00954E97">
        <w:rPr>
          <w:rFonts w:ascii="Eurobank Sans" w:hAnsi="Eurobank Sans"/>
          <w:color w:val="021342"/>
        </w:rPr>
        <w:t xml:space="preserve"> ως τον Μάιο του 2022 </w:t>
      </w:r>
      <w:r w:rsidR="00B543B8" w:rsidRPr="00954E97">
        <w:rPr>
          <w:rFonts w:ascii="Eurobank Sans" w:hAnsi="Eurobank Sans"/>
          <w:color w:val="021342"/>
        </w:rPr>
        <w:t>οι κυρώσεις της ΕΕ κατά της Ρωσίας</w:t>
      </w:r>
      <w:r w:rsidR="008A483E">
        <w:rPr>
          <w:rFonts w:ascii="Eurobank Sans" w:hAnsi="Eurobank Sans"/>
          <w:color w:val="021342"/>
        </w:rPr>
        <w:t>,</w:t>
      </w:r>
      <w:r w:rsidR="00B543B8" w:rsidRPr="00954E97">
        <w:rPr>
          <w:rFonts w:ascii="Eurobank Sans" w:hAnsi="Eurobank Sans"/>
          <w:color w:val="021342"/>
        </w:rPr>
        <w:t xml:space="preserve"> τα μέτρα δημοσιονομικής στήριξης της ελληνικής κυβέρνησης </w:t>
      </w:r>
      <w:r w:rsidR="008A483E">
        <w:rPr>
          <w:rFonts w:ascii="Eurobank Sans" w:hAnsi="Eurobank Sans"/>
          <w:color w:val="021342"/>
        </w:rPr>
        <w:t>και</w:t>
      </w:r>
      <w:r w:rsidR="00B543B8" w:rsidRPr="00954E97">
        <w:rPr>
          <w:rFonts w:ascii="Eurobank Sans" w:hAnsi="Eurobank Sans"/>
          <w:color w:val="021342"/>
        </w:rPr>
        <w:t xml:space="preserve"> η </w:t>
      </w:r>
      <w:r w:rsidR="008A483E">
        <w:rPr>
          <w:rFonts w:ascii="Eurobank Sans" w:hAnsi="Eurobank Sans"/>
          <w:color w:val="021342"/>
        </w:rPr>
        <w:t xml:space="preserve">πορεία </w:t>
      </w:r>
      <w:proofErr w:type="spellStart"/>
      <w:r w:rsidR="008A483E">
        <w:rPr>
          <w:rFonts w:ascii="Eurobank Sans" w:hAnsi="Eurobank Sans"/>
          <w:color w:val="021342"/>
        </w:rPr>
        <w:t>κανονικοποίησης</w:t>
      </w:r>
      <w:proofErr w:type="spellEnd"/>
      <w:r w:rsidR="008A483E">
        <w:rPr>
          <w:rFonts w:ascii="Eurobank Sans" w:hAnsi="Eurobank Sans"/>
          <w:color w:val="021342"/>
        </w:rPr>
        <w:t xml:space="preserve"> της </w:t>
      </w:r>
      <w:r w:rsidR="00B543B8" w:rsidRPr="00954E97">
        <w:rPr>
          <w:rFonts w:ascii="Eurobank Sans" w:hAnsi="Eurobank Sans"/>
          <w:color w:val="021342"/>
        </w:rPr>
        <w:t>νομισματική</w:t>
      </w:r>
      <w:r w:rsidR="008A483E">
        <w:rPr>
          <w:rFonts w:ascii="Eurobank Sans" w:hAnsi="Eurobank Sans"/>
          <w:color w:val="021342"/>
        </w:rPr>
        <w:t>ς</w:t>
      </w:r>
      <w:r w:rsidR="00B543B8" w:rsidRPr="00954E97">
        <w:rPr>
          <w:rFonts w:ascii="Eurobank Sans" w:hAnsi="Eurobank Sans"/>
          <w:color w:val="021342"/>
        </w:rPr>
        <w:t xml:space="preserve"> πολιτική</w:t>
      </w:r>
      <w:r w:rsidR="008A483E">
        <w:rPr>
          <w:rFonts w:ascii="Eurobank Sans" w:hAnsi="Eurobank Sans"/>
          <w:color w:val="021342"/>
        </w:rPr>
        <w:t>ς.</w:t>
      </w:r>
      <w:r w:rsidR="00B543B8" w:rsidRPr="00954E97">
        <w:rPr>
          <w:rFonts w:ascii="Eurobank Sans" w:hAnsi="Eurobank Sans"/>
          <w:color w:val="021342"/>
        </w:rPr>
        <w:t xml:space="preserve"> Συνολικά, αυτό </w:t>
      </w:r>
      <w:r w:rsidR="008A483E">
        <w:rPr>
          <w:rFonts w:ascii="Eurobank Sans" w:hAnsi="Eurobank Sans"/>
          <w:color w:val="021342"/>
        </w:rPr>
        <w:t xml:space="preserve">το σενάριο </w:t>
      </w:r>
      <w:r w:rsidR="00B543B8" w:rsidRPr="00954E97">
        <w:rPr>
          <w:rFonts w:ascii="Eurobank Sans" w:hAnsi="Eurobank Sans"/>
          <w:color w:val="021342"/>
        </w:rPr>
        <w:t xml:space="preserve">οδηγεί σε αύξηση του πραγματικού ΑΕΠ κατά </w:t>
      </w:r>
      <w:r w:rsidR="00AC510D" w:rsidRPr="00AC510D">
        <w:rPr>
          <w:rFonts w:ascii="Eurobank Sans" w:hAnsi="Eurobank Sans"/>
          <w:b/>
          <w:bCs/>
          <w:color w:val="021342"/>
        </w:rPr>
        <w:t>3.0</w:t>
      </w:r>
      <w:r w:rsidR="00B543B8" w:rsidRPr="00AC510D">
        <w:rPr>
          <w:rFonts w:ascii="Eurobank Sans" w:hAnsi="Eurobank Sans"/>
          <w:b/>
          <w:bCs/>
          <w:color w:val="021342"/>
        </w:rPr>
        <w:t>%</w:t>
      </w:r>
      <w:r w:rsidR="00B543B8" w:rsidRPr="00954E97">
        <w:rPr>
          <w:rFonts w:ascii="Eurobank Sans" w:hAnsi="Eurobank Sans"/>
          <w:color w:val="021342"/>
        </w:rPr>
        <w:t xml:space="preserve"> σε ετήσια βάση το 2022 και σε ρυθμό μεταβολής του </w:t>
      </w:r>
      <w:proofErr w:type="spellStart"/>
      <w:r w:rsidR="00B543B8" w:rsidRPr="00954E97">
        <w:rPr>
          <w:rFonts w:ascii="Eurobank Sans" w:hAnsi="Eurobank Sans"/>
          <w:color w:val="021342"/>
        </w:rPr>
        <w:t>ΕνΔΤΚ</w:t>
      </w:r>
      <w:proofErr w:type="spellEnd"/>
      <w:r w:rsidR="00B543B8" w:rsidRPr="00954E97">
        <w:rPr>
          <w:rFonts w:ascii="Eurobank Sans" w:hAnsi="Eurobank Sans"/>
          <w:color w:val="021342"/>
        </w:rPr>
        <w:t xml:space="preserve"> </w:t>
      </w:r>
      <w:r w:rsidR="008A483E">
        <w:rPr>
          <w:rFonts w:ascii="Eurobank Sans" w:hAnsi="Eurobank Sans"/>
          <w:color w:val="021342"/>
        </w:rPr>
        <w:t xml:space="preserve">κατά </w:t>
      </w:r>
      <w:r w:rsidR="00B543B8" w:rsidRPr="00954E97">
        <w:rPr>
          <w:rFonts w:ascii="Eurobank Sans" w:hAnsi="Eurobank Sans"/>
          <w:color w:val="021342"/>
        </w:rPr>
        <w:t>7%</w:t>
      </w:r>
      <w:r w:rsidR="008A483E">
        <w:rPr>
          <w:rFonts w:ascii="Eurobank Sans" w:hAnsi="Eurobank Sans"/>
          <w:color w:val="021342"/>
        </w:rPr>
        <w:t xml:space="preserve"> (με ανοδικούς κινδύνους)</w:t>
      </w:r>
      <w:r w:rsidR="00B543B8" w:rsidRPr="00954E97">
        <w:rPr>
          <w:rFonts w:ascii="Eurobank Sans" w:hAnsi="Eurobank Sans"/>
          <w:color w:val="021342"/>
        </w:rPr>
        <w:t xml:space="preserve">. Αν και </w:t>
      </w:r>
      <w:r w:rsidR="009B388D">
        <w:rPr>
          <w:rFonts w:ascii="Eurobank Sans" w:hAnsi="Eurobank Sans"/>
          <w:color w:val="021342"/>
        </w:rPr>
        <w:t>αυτός ο ρυθμός ανάπτυξης υπολείπεται των προβλέψεων προ του πολέμου</w:t>
      </w:r>
      <w:r w:rsidR="00B543B8" w:rsidRPr="00954E97">
        <w:rPr>
          <w:rFonts w:ascii="Eurobank Sans" w:hAnsi="Eurobank Sans"/>
          <w:color w:val="021342"/>
        </w:rPr>
        <w:t>, η πορεία της ανεργίας βελτιώνεται λόγω επιπτώσεων της βάσης (χαμηλότερη ανεργία το 2021) και των συνεχιζόμενων μέτρων στήριξης.</w:t>
      </w:r>
    </w:p>
    <w:p w14:paraId="3ADB8413" w14:textId="77777777" w:rsidR="00B543B8" w:rsidRPr="00954E97" w:rsidRDefault="00B543B8" w:rsidP="00B543B8">
      <w:pPr>
        <w:tabs>
          <w:tab w:val="left" w:pos="-142"/>
        </w:tabs>
        <w:ind w:left="-142" w:right="-454"/>
        <w:rPr>
          <w:rFonts w:ascii="Eurobank Sans" w:hAnsi="Eurobank Sans"/>
          <w:color w:val="021342"/>
        </w:rPr>
      </w:pPr>
    </w:p>
    <w:p w14:paraId="073E2874" w14:textId="46496B38" w:rsidR="00B609FF" w:rsidRPr="00954E97" w:rsidRDefault="00B543B8" w:rsidP="00B543B8">
      <w:pPr>
        <w:tabs>
          <w:tab w:val="left" w:pos="-142"/>
        </w:tabs>
        <w:ind w:left="-142" w:right="-454"/>
        <w:rPr>
          <w:rFonts w:ascii="Eurobank Sans" w:hAnsi="Eurobank Sans"/>
          <w:color w:val="021342"/>
        </w:rPr>
      </w:pPr>
      <w:r w:rsidRPr="00954E97">
        <w:rPr>
          <w:rFonts w:ascii="Eurobank Sans" w:hAnsi="Eurobank Sans"/>
          <w:color w:val="021342"/>
        </w:rPr>
        <w:t xml:space="preserve">Το δυσμενές σενάριο </w:t>
      </w:r>
      <w:r w:rsidR="00685861">
        <w:rPr>
          <w:rFonts w:ascii="Eurobank Sans" w:hAnsi="Eurobank Sans"/>
          <w:color w:val="021342"/>
        </w:rPr>
        <w:t>υ</w:t>
      </w:r>
      <w:r w:rsidRPr="00954E97">
        <w:rPr>
          <w:rFonts w:ascii="Eurobank Sans" w:hAnsi="Eurobank Sans"/>
          <w:color w:val="021342"/>
        </w:rPr>
        <w:t xml:space="preserve">ποθέτει παράταση του πολέμου και οικονομικές κυρώσεις, που οδηγούν σε μεγαλύτερο σοκ προσφοράς, που εκδηλώνεται </w:t>
      </w:r>
      <w:r w:rsidR="00685861">
        <w:rPr>
          <w:rFonts w:ascii="Eurobank Sans" w:hAnsi="Eurobank Sans"/>
          <w:color w:val="021342"/>
        </w:rPr>
        <w:t>μ</w:t>
      </w:r>
      <w:r w:rsidRPr="00954E97">
        <w:rPr>
          <w:rFonts w:ascii="Eurobank Sans" w:hAnsi="Eurobank Sans"/>
          <w:color w:val="021342"/>
        </w:rPr>
        <w:t xml:space="preserve">ε υψηλότερες τιμές ενέργειας. Με τη σειρά του, αυτό σημαίνει υψηλότερο και πιο επίμονο πληθωρισμό (και επακόλουθη διάβρωση των εισοδημάτων), πιο παρατεταμένη αναβολή των επενδύσεων, χαμηλότερη εξωτερική ζήτηση αλλά και περισσότερα μέτρα δημοσιονομικής στήριξης. Συνολικά, αυτό οδηγεί σε αύξηση του πραγματικού ΑΕΠ κατά </w:t>
      </w:r>
      <w:r w:rsidRPr="00AC510D">
        <w:rPr>
          <w:rFonts w:ascii="Eurobank Sans" w:hAnsi="Eurobank Sans"/>
          <w:b/>
          <w:bCs/>
          <w:color w:val="021342"/>
        </w:rPr>
        <w:t>1,4%</w:t>
      </w:r>
      <w:r w:rsidRPr="00954E97">
        <w:rPr>
          <w:rFonts w:ascii="Eurobank Sans" w:hAnsi="Eurobank Sans"/>
          <w:color w:val="021342"/>
        </w:rPr>
        <w:t xml:space="preserve"> σε ετήσια βάση το 2022. Το μέγεθος της διαφοράς μεταξύ του βασικού και του δυσμενούς σεναρίου προκύπτει από τη φύση της </w:t>
      </w:r>
      <w:r w:rsidR="001D1C94">
        <w:rPr>
          <w:rFonts w:ascii="Eurobank Sans" w:hAnsi="Eurobank Sans"/>
          <w:color w:val="021342"/>
        </w:rPr>
        <w:t>διαταραχής</w:t>
      </w:r>
      <w:r w:rsidR="001D1C94" w:rsidRPr="001D1C94">
        <w:rPr>
          <w:rFonts w:ascii="Eurobank Sans" w:hAnsi="Eurobank Sans"/>
          <w:color w:val="021342"/>
        </w:rPr>
        <w:t xml:space="preserve"> από την πλευρά της προσφοράς που </w:t>
      </w:r>
      <w:r w:rsidR="001D1C94">
        <w:rPr>
          <w:rFonts w:ascii="Eurobank Sans" w:hAnsi="Eurobank Sans"/>
          <w:color w:val="021342"/>
        </w:rPr>
        <w:t>υποτίθ</w:t>
      </w:r>
      <w:r w:rsidR="001D1C94" w:rsidRPr="001D1C94">
        <w:rPr>
          <w:rFonts w:ascii="Eurobank Sans" w:hAnsi="Eurobank Sans"/>
          <w:color w:val="021342"/>
        </w:rPr>
        <w:t xml:space="preserve">εται και, ως εκ τούτου, δεν προσπαθεί να προσεγγίσει </w:t>
      </w:r>
      <w:r w:rsidR="002D358D">
        <w:rPr>
          <w:rFonts w:ascii="Eurobank Sans" w:hAnsi="Eurobank Sans"/>
          <w:color w:val="021342"/>
        </w:rPr>
        <w:t>τα δυσμενέστερα ενδεχόμενα</w:t>
      </w:r>
      <w:r w:rsidR="001D1C94" w:rsidRPr="001D1C94">
        <w:rPr>
          <w:rFonts w:ascii="Eurobank Sans" w:hAnsi="Eurobank Sans"/>
          <w:color w:val="021342"/>
        </w:rPr>
        <w:t>, δηλαδή μια σωρευτική επίδραση πολλών αρνητικών παραγόντων.</w:t>
      </w:r>
    </w:p>
    <w:sectPr w:rsidR="00B609FF" w:rsidRPr="00954E97">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65D24" w14:textId="77777777" w:rsidR="00136A5B" w:rsidRDefault="00136A5B" w:rsidP="00C93637">
      <w:pPr>
        <w:spacing w:after="0" w:line="240" w:lineRule="auto"/>
      </w:pPr>
      <w:r>
        <w:separator/>
      </w:r>
    </w:p>
  </w:endnote>
  <w:endnote w:type="continuationSeparator" w:id="0">
    <w:p w14:paraId="56AC11A9" w14:textId="77777777" w:rsidR="00136A5B" w:rsidRDefault="00136A5B" w:rsidP="00C9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Eurobank Sans">
    <w:altName w:val="Eurobank Sans"/>
    <w:panose1 w:val="02000503000000020004"/>
    <w:charset w:val="A1"/>
    <w:family w:val="auto"/>
    <w:pitch w:val="variable"/>
    <w:sig w:usb0="A00002BF" w:usb1="5000000A"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724E" w14:textId="77777777" w:rsidR="00136A5B" w:rsidRDefault="00136A5B" w:rsidP="00C93637">
      <w:pPr>
        <w:spacing w:after="0" w:line="240" w:lineRule="auto"/>
      </w:pPr>
      <w:r>
        <w:separator/>
      </w:r>
    </w:p>
  </w:footnote>
  <w:footnote w:type="continuationSeparator" w:id="0">
    <w:p w14:paraId="378D510C" w14:textId="77777777" w:rsidR="00136A5B" w:rsidRDefault="00136A5B" w:rsidP="00C9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8883" w14:textId="77777777" w:rsidR="00C93637" w:rsidRDefault="00C93637">
    <w:pPr>
      <w:pStyle w:val="Header"/>
    </w:pPr>
    <w:r>
      <w:rPr>
        <w:noProof/>
        <w:lang w:eastAsia="el-GR"/>
      </w:rPr>
      <w:drawing>
        <wp:anchor distT="0" distB="0" distL="114300" distR="114300" simplePos="0" relativeHeight="251658240" behindDoc="0" locked="0" layoutInCell="1" allowOverlap="1" wp14:anchorId="0D519B4C" wp14:editId="0EBF6BDC">
          <wp:simplePos x="0" y="0"/>
          <wp:positionH relativeFrom="page">
            <wp:align>left</wp:align>
          </wp:positionH>
          <wp:positionV relativeFrom="paragraph">
            <wp:posOffset>-447675</wp:posOffset>
          </wp:positionV>
          <wp:extent cx="7603200" cy="1580400"/>
          <wp:effectExtent l="0" t="0" r="0" b="0"/>
          <wp:wrapTopAndBottom/>
          <wp:docPr id="1" name="Picture 1" descr="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1580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6"/>
    <w:rsid w:val="001121D6"/>
    <w:rsid w:val="001257DD"/>
    <w:rsid w:val="00136A5B"/>
    <w:rsid w:val="001571E3"/>
    <w:rsid w:val="00195773"/>
    <w:rsid w:val="001A17DB"/>
    <w:rsid w:val="001D1C94"/>
    <w:rsid w:val="00264543"/>
    <w:rsid w:val="002D358D"/>
    <w:rsid w:val="00301E5A"/>
    <w:rsid w:val="00310C71"/>
    <w:rsid w:val="0032545C"/>
    <w:rsid w:val="003609D1"/>
    <w:rsid w:val="003E7D6E"/>
    <w:rsid w:val="00432BE3"/>
    <w:rsid w:val="004767C6"/>
    <w:rsid w:val="004F1B43"/>
    <w:rsid w:val="005770B8"/>
    <w:rsid w:val="00593FCD"/>
    <w:rsid w:val="005B1521"/>
    <w:rsid w:val="00685861"/>
    <w:rsid w:val="006D75FE"/>
    <w:rsid w:val="00701159"/>
    <w:rsid w:val="007175FB"/>
    <w:rsid w:val="00811303"/>
    <w:rsid w:val="008A483E"/>
    <w:rsid w:val="008E186E"/>
    <w:rsid w:val="00954E97"/>
    <w:rsid w:val="009B388D"/>
    <w:rsid w:val="009F6A98"/>
    <w:rsid w:val="00A51D0B"/>
    <w:rsid w:val="00A76CF6"/>
    <w:rsid w:val="00AC510D"/>
    <w:rsid w:val="00AE0BDC"/>
    <w:rsid w:val="00AF06D7"/>
    <w:rsid w:val="00B0386B"/>
    <w:rsid w:val="00B543B8"/>
    <w:rsid w:val="00B609FF"/>
    <w:rsid w:val="00C03723"/>
    <w:rsid w:val="00C1342C"/>
    <w:rsid w:val="00C16BAC"/>
    <w:rsid w:val="00C33CFC"/>
    <w:rsid w:val="00C45631"/>
    <w:rsid w:val="00C93637"/>
    <w:rsid w:val="00CB5D2D"/>
    <w:rsid w:val="00CC5485"/>
    <w:rsid w:val="00CC5608"/>
    <w:rsid w:val="00D11645"/>
    <w:rsid w:val="00D118D4"/>
    <w:rsid w:val="00D1648E"/>
    <w:rsid w:val="00D54396"/>
    <w:rsid w:val="00D872FE"/>
    <w:rsid w:val="00D9070C"/>
    <w:rsid w:val="00DC0366"/>
    <w:rsid w:val="00DC2ACD"/>
    <w:rsid w:val="00DD2977"/>
    <w:rsid w:val="00E31F27"/>
    <w:rsid w:val="00E55715"/>
    <w:rsid w:val="00EF2D8E"/>
    <w:rsid w:val="00F056A9"/>
    <w:rsid w:val="00F32181"/>
    <w:rsid w:val="00FA13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1CBBA"/>
  <w15:chartTrackingRefBased/>
  <w15:docId w15:val="{5590A5A2-76D0-437D-94E7-AFEE17E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6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3637"/>
  </w:style>
  <w:style w:type="paragraph" w:styleId="Footer">
    <w:name w:val="footer"/>
    <w:basedOn w:val="Normal"/>
    <w:link w:val="FooterChar"/>
    <w:uiPriority w:val="99"/>
    <w:unhideWhenUsed/>
    <w:rsid w:val="00C936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97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0160d58dc5d4538be8c5795d8cfc68d xmlns="a8d44ad2-0d9d-4693-835a-8697d7380530">
      <Terms xmlns="http://schemas.microsoft.com/office/infopath/2007/PartnerControls"/>
    </j0160d58dc5d4538be8c5795d8cfc68d>
    <TaxCatchAll xmlns="a8d44ad2-0d9d-4693-835a-8697d7380530" xsi:nil="true"/>
    <UnilyIsFeaturedDocument xmlns="a8d44ad2-0d9d-4693-835a-8697d7380530" xsi:nil="true"/>
    <UnilyIsTemplate xmlns="a8d44ad2-0d9d-4693-835a-8697d73805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4EB4CA7F27874FA4FD57F92AA591C3" ma:contentTypeVersion="2" ma:contentTypeDescription="Create a new document." ma:contentTypeScope="" ma:versionID="46581ef3df542fecb53defb5642478a8">
  <xsd:schema xmlns:xsd="http://www.w3.org/2001/XMLSchema" xmlns:xs="http://www.w3.org/2001/XMLSchema" xmlns:p="http://schemas.microsoft.com/office/2006/metadata/properties" xmlns:ns2="a8d44ad2-0d9d-4693-835a-8697d7380530" xmlns:ns3="de3ff1fa-33d6-413e-bb55-0a15baf92163" targetNamespace="http://schemas.microsoft.com/office/2006/metadata/properties" ma:root="true" ma:fieldsID="266283c115f099627c576606748b6e8a" ns2:_="" ns3:_="">
    <xsd:import namespace="a8d44ad2-0d9d-4693-835a-8697d7380530"/>
    <xsd:import namespace="de3ff1fa-33d6-413e-bb55-0a15baf92163"/>
    <xsd:element name="properties">
      <xsd:complexType>
        <xsd:sequence>
          <xsd:element name="documentManagement">
            <xsd:complexType>
              <xsd:all>
                <xsd:element ref="ns2:UnilyIsFeaturedDocument" minOccurs="0"/>
                <xsd:element ref="ns2:UnilyIsTemplate" minOccurs="0"/>
                <xsd:element ref="ns2:j0160d58dc5d4538be8c5795d8cfc68d"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4ad2-0d9d-4693-835a-8697d7380530"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j0160d58dc5d4538be8c5795d8cfc68d" ma:index="10" nillable="true" ma:taxonomy="true" ma:internalName="j0160d58dc5d4538be8c5795d8cfc68d" ma:taxonomyFieldName="UnilyDocumentCategory" ma:displayName="Document Category" ma:default="" ma:fieldId="{30160d58-dc5d-4538-be8c-5795d8cfc68d}" ma:taxonomyMulti="true" ma:sspId="2e1e66aa-bea1-4dc5-b3bb-bfad1ec28d40" ma:termSetId="a814eaba-2ef5-4a71-8db2-2406a56c92d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dd192ba-1ac6-40a9-9c41-6bbfb4b88bc9}" ma:internalName="TaxCatchAll" ma:showField="CatchAllData" ma:web="a8d44ad2-0d9d-4693-835a-8697d738053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d192ba-1ac6-40a9-9c41-6bbfb4b88bc9}" ma:internalName="TaxCatchAllLabel" ma:readOnly="true" ma:showField="CatchAllDataLabel" ma:web="a8d44ad2-0d9d-4693-835a-8697d73805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3ff1fa-33d6-413e-bb55-0a15baf9216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94771-4420-453E-960D-C71D441C2DCC}">
  <ds:schemaRefs>
    <ds:schemaRef ds:uri="http://schemas.microsoft.com/sharepoint/v3/contenttype/forms"/>
  </ds:schemaRefs>
</ds:datastoreItem>
</file>

<file path=customXml/itemProps2.xml><?xml version="1.0" encoding="utf-8"?>
<ds:datastoreItem xmlns:ds="http://schemas.openxmlformats.org/officeDocument/2006/customXml" ds:itemID="{78C796EA-EB8B-4A18-A1CD-8C88628788E8}">
  <ds:schemaRefs>
    <ds:schemaRef ds:uri="http://schemas.microsoft.com/office/2006/metadata/properties"/>
    <ds:schemaRef ds:uri="http://schemas.microsoft.com/office/infopath/2007/PartnerControls"/>
    <ds:schemaRef ds:uri="a8d44ad2-0d9d-4693-835a-8697d7380530"/>
  </ds:schemaRefs>
</ds:datastoreItem>
</file>

<file path=customXml/itemProps3.xml><?xml version="1.0" encoding="utf-8"?>
<ds:datastoreItem xmlns:ds="http://schemas.openxmlformats.org/officeDocument/2006/customXml" ds:itemID="{71037F85-47DD-4CB4-9057-F5AB0AADB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44ad2-0d9d-4693-835a-8697d7380530"/>
    <ds:schemaRef ds:uri="de3ff1fa-33d6-413e-bb55-0a15baf92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1077</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Roidi Paraskevi maria (External Partner)</dc:creator>
  <cp:keywords/>
  <dc:description/>
  <cp:lastModifiedBy>Anastasatos Tasos</cp:lastModifiedBy>
  <cp:revision>39</cp:revision>
  <dcterms:created xsi:type="dcterms:W3CDTF">2022-06-03T08:51:00Z</dcterms:created>
  <dcterms:modified xsi:type="dcterms:W3CDTF">2022-06-03T10:04:00Z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0x010100BC4EB4CA7F27874FA4FD57F92AA591C3</vt:lpwstr>
  </property>
</Properties>
</file>